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3B" w:rsidRPr="002D76D8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0" w:name="sub_100"/>
      <w:bookmarkStart w:id="1" w:name="_GoBack"/>
      <w:bookmarkEnd w:id="1"/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1</w:t>
      </w: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Pr="002D76D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2D76D8">
        <w:rPr>
          <w:rStyle w:val="a4"/>
          <w:rFonts w:ascii="Times New Roman" w:hAnsi="Times New Roman"/>
          <w:color w:val="auto"/>
        </w:rPr>
        <w:t>Порядку</w:t>
      </w:r>
    </w:p>
    <w:p w:rsidR="00F14182" w:rsidRDefault="00F14182" w:rsidP="00F14182">
      <w:pPr>
        <w:ind w:firstLine="698"/>
        <w:jc w:val="right"/>
      </w:pPr>
    </w:p>
    <w:p w:rsidR="00F14182" w:rsidRPr="00F14182" w:rsidRDefault="00F14182" w:rsidP="00F14182">
      <w:pPr>
        <w:ind w:firstLine="698"/>
        <w:jc w:val="right"/>
      </w:pPr>
      <w:r w:rsidRPr="00F14182">
        <w:t>Главе Середского сельского поселения</w:t>
      </w:r>
    </w:p>
    <w:p w:rsidR="00F14182" w:rsidRPr="00F14182" w:rsidRDefault="00F14182" w:rsidP="00F14182">
      <w:pPr>
        <w:ind w:firstLine="698"/>
        <w:jc w:val="right"/>
      </w:pPr>
      <w:r w:rsidRPr="00F14182">
        <w:br/>
        <w:t>от _____________________________________________</w:t>
      </w:r>
      <w:r w:rsidRPr="00F14182">
        <w:br/>
      </w:r>
      <w:r w:rsidRPr="00F14182">
        <w:rPr>
          <w:sz w:val="16"/>
          <w:szCs w:val="16"/>
        </w:rPr>
        <w:t xml:space="preserve">для </w:t>
      </w:r>
      <w:r w:rsidR="00BA7F7C">
        <w:rPr>
          <w:sz w:val="16"/>
          <w:szCs w:val="16"/>
        </w:rPr>
        <w:t>ИП</w:t>
      </w:r>
      <w:r w:rsidRPr="00F14182">
        <w:rPr>
          <w:sz w:val="16"/>
          <w:szCs w:val="16"/>
        </w:rPr>
        <w:t xml:space="preserve"> - фамилия, имя и (при наличии) отчество,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жительства заявителя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реквизиты документа, удостоверяющего личность заявителя;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для юридических лиц - наименование,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нахождения заявителя, ОГРН, ИНН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контактный телефон, почтовый, электронный адрес для связи</w:t>
      </w:r>
    </w:p>
    <w:p w:rsidR="00F14182" w:rsidRPr="00F14182" w:rsidRDefault="00F14182" w:rsidP="00F14182"/>
    <w:p w:rsidR="00F14182" w:rsidRPr="00F14182" w:rsidRDefault="00F14182" w:rsidP="00F14182">
      <w:pPr>
        <w:spacing w:before="108" w:after="108"/>
        <w:ind w:firstLine="0"/>
        <w:jc w:val="center"/>
        <w:outlineLvl w:val="0"/>
        <w:rPr>
          <w:b/>
          <w:bCs/>
        </w:rPr>
      </w:pPr>
      <w:r w:rsidRPr="00F14182">
        <w:rPr>
          <w:b/>
          <w:bCs/>
        </w:rPr>
        <w:t>Заявление</w:t>
      </w:r>
      <w:r w:rsidRPr="00F14182">
        <w:rPr>
          <w:b/>
          <w:bCs/>
        </w:rPr>
        <w:br/>
      </w:r>
      <w:r w:rsidR="00FE1623">
        <w:rPr>
          <w:b/>
          <w:bCs/>
        </w:rPr>
        <w:t>о заключении</w:t>
      </w:r>
      <w:r w:rsidR="00FE1623" w:rsidRPr="00FE1623">
        <w:rPr>
          <w:b/>
          <w:bCs/>
        </w:rPr>
        <w:t xml:space="preserve"> договора на право размещения нестационарного торгового объекта </w:t>
      </w:r>
    </w:p>
    <w:p w:rsidR="00F14182" w:rsidRPr="00F14182" w:rsidRDefault="00F14182" w:rsidP="00F14182"/>
    <w:p w:rsidR="00FE1623" w:rsidRPr="00F14182" w:rsidRDefault="00F14182" w:rsidP="00F14182">
      <w:pPr>
        <w:ind w:firstLine="0"/>
      </w:pPr>
      <w:r w:rsidRPr="00F14182">
        <w:t xml:space="preserve">Прошу </w:t>
      </w:r>
      <w:r w:rsidR="00FE1623">
        <w:t xml:space="preserve">заключить со мной договор </w:t>
      </w:r>
      <w:r w:rsidR="00FE1623" w:rsidRPr="00FE1623">
        <w:t xml:space="preserve">на право размещения </w:t>
      </w:r>
      <w:r w:rsidR="0078699B">
        <w:t>нестационарного торгового объекта</w:t>
      </w:r>
    </w:p>
    <w:p w:rsidR="00F14182" w:rsidRPr="00F14182" w:rsidRDefault="00F14182" w:rsidP="00F14182">
      <w:pPr>
        <w:ind w:firstLine="0"/>
      </w:pPr>
      <w:r w:rsidRPr="00F14182">
        <w:t>местоположение _______________________________________________________________________</w:t>
      </w:r>
    </w:p>
    <w:p w:rsidR="00F14182" w:rsidRPr="00F14182" w:rsidRDefault="00F14182" w:rsidP="00F14182">
      <w:pPr>
        <w:ind w:firstLine="0"/>
      </w:pPr>
      <w:r w:rsidRPr="00F14182">
        <w:t>_____________________________________________________</w:t>
      </w:r>
      <w:r w:rsidR="00F2094F">
        <w:t>_______________________________,</w:t>
      </w:r>
    </w:p>
    <w:p w:rsidR="00F14182" w:rsidRPr="00F14182" w:rsidRDefault="00F14182" w:rsidP="00F14182">
      <w:pPr>
        <w:ind w:firstLine="0"/>
        <w:jc w:val="center"/>
        <w:rPr>
          <w:sz w:val="16"/>
          <w:szCs w:val="16"/>
        </w:rPr>
      </w:pPr>
      <w:r w:rsidRPr="00F14182">
        <w:rPr>
          <w:sz w:val="16"/>
          <w:szCs w:val="16"/>
        </w:rPr>
        <w:t>(указывается адрес или описание местоположения)</w:t>
      </w:r>
    </w:p>
    <w:p w:rsidR="00F14182" w:rsidRPr="00F14182" w:rsidRDefault="00F14182" w:rsidP="00F14182">
      <w:pPr>
        <w:ind w:firstLine="0"/>
      </w:pPr>
      <w:r w:rsidRPr="00F14182">
        <w:t>кадастровый номер</w:t>
      </w:r>
      <w:r w:rsidR="00F2094F">
        <w:t xml:space="preserve"> (при наличии) _____________</w:t>
      </w:r>
      <w:r w:rsidRPr="00F14182">
        <w:t>_______________________________</w:t>
      </w:r>
      <w:r w:rsidR="00F2094F">
        <w:t>___________,</w:t>
      </w:r>
    </w:p>
    <w:p w:rsidR="00F2094F" w:rsidRDefault="00F2094F" w:rsidP="00F2094F">
      <w:pPr>
        <w:ind w:firstLine="0"/>
      </w:pPr>
      <w:r>
        <w:t>площадь для размещения объекта _______________________________________________________,</w:t>
      </w:r>
    </w:p>
    <w:p w:rsidR="00F2094F" w:rsidRDefault="00F2094F" w:rsidP="00F2094F">
      <w:pPr>
        <w:ind w:firstLine="0"/>
      </w:pPr>
      <w:r>
        <w:t>тип объекта, возможного для размещения в указанном месте, в соответствии со схемой размещения__________________________________________________________________________,</w:t>
      </w:r>
    </w:p>
    <w:p w:rsidR="00F2094F" w:rsidRPr="00F14182" w:rsidRDefault="00F2094F" w:rsidP="00F2094F">
      <w:pPr>
        <w:ind w:firstLine="0"/>
        <w:jc w:val="center"/>
        <w:rPr>
          <w:sz w:val="16"/>
          <w:szCs w:val="16"/>
        </w:rPr>
      </w:pPr>
      <w:r w:rsidRPr="00F14182">
        <w:rPr>
          <w:sz w:val="16"/>
          <w:szCs w:val="16"/>
        </w:rPr>
        <w:t>(</w:t>
      </w:r>
      <w:r>
        <w:rPr>
          <w:sz w:val="16"/>
          <w:szCs w:val="16"/>
        </w:rPr>
        <w:t xml:space="preserve">тележка, лоток, палатка, </w:t>
      </w:r>
      <w:r w:rsidR="007E203B">
        <w:rPr>
          <w:sz w:val="16"/>
          <w:szCs w:val="16"/>
        </w:rPr>
        <w:t>автолавка, киоск, павильон и т.д.</w:t>
      </w:r>
      <w:r w:rsidRPr="00F14182">
        <w:rPr>
          <w:sz w:val="16"/>
          <w:szCs w:val="16"/>
        </w:rPr>
        <w:t>)</w:t>
      </w:r>
    </w:p>
    <w:p w:rsidR="00F2094F" w:rsidRDefault="00F2094F" w:rsidP="00F2094F">
      <w:pPr>
        <w:ind w:firstLine="0"/>
      </w:pPr>
      <w:r>
        <w:t xml:space="preserve">специализация объекта_________________________________________________________________, </w:t>
      </w:r>
    </w:p>
    <w:p w:rsidR="00F2094F" w:rsidRPr="00F14182" w:rsidRDefault="00F2094F" w:rsidP="00F2094F">
      <w:pPr>
        <w:ind w:firstLine="0"/>
        <w:jc w:val="center"/>
        <w:rPr>
          <w:sz w:val="16"/>
          <w:szCs w:val="16"/>
        </w:rPr>
      </w:pPr>
      <w:r w:rsidRPr="00F14182">
        <w:rPr>
          <w:sz w:val="16"/>
          <w:szCs w:val="16"/>
        </w:rPr>
        <w:t>(</w:t>
      </w:r>
      <w:r w:rsidR="007E203B">
        <w:rPr>
          <w:sz w:val="16"/>
          <w:szCs w:val="16"/>
        </w:rPr>
        <w:t>хлеб, кондитерские изделия, печать, сувенирная продукция, быстрое питание и т.д.</w:t>
      </w:r>
      <w:r w:rsidRPr="00F14182">
        <w:rPr>
          <w:sz w:val="16"/>
          <w:szCs w:val="16"/>
        </w:rPr>
        <w:t>)</w:t>
      </w:r>
    </w:p>
    <w:p w:rsidR="00F2094F" w:rsidRDefault="00F2094F" w:rsidP="00F14182">
      <w:pPr>
        <w:ind w:firstLine="0"/>
      </w:pPr>
    </w:p>
    <w:p w:rsidR="00F2094F" w:rsidRDefault="00F2094F" w:rsidP="00F14182">
      <w:pPr>
        <w:ind w:firstLine="0"/>
      </w:pPr>
      <w:r>
        <w:t>р</w:t>
      </w:r>
      <w:r w:rsidR="00F14182" w:rsidRPr="00F14182">
        <w:t>еквизиты решения</w:t>
      </w:r>
      <w:r>
        <w:t xml:space="preserve"> об утверждении с</w:t>
      </w:r>
      <w:r w:rsidRPr="00F2094F">
        <w:t>хем</w:t>
      </w:r>
      <w:r>
        <w:t>ы</w:t>
      </w:r>
      <w:r w:rsidRPr="00F2094F">
        <w:t xml:space="preserve"> размещения нестационарных торговых объектов на территории Середского сельского поселения Даниловского муниципального района Ярославской области</w:t>
      </w:r>
      <w:r w:rsidR="00F14182" w:rsidRPr="00F14182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____________________________________________________________________________________________________________________________________________________________________.</w:t>
      </w:r>
    </w:p>
    <w:p w:rsidR="007E203B" w:rsidRDefault="00F14182" w:rsidP="007E203B">
      <w:pPr>
        <w:ind w:firstLine="0"/>
      </w:pPr>
      <w:r w:rsidRPr="00F14182">
        <w:rPr>
          <w:b/>
          <w:bCs/>
        </w:rPr>
        <w:t>Приложение:</w:t>
      </w:r>
    </w:p>
    <w:p w:rsidR="007E203B" w:rsidRDefault="007E203B" w:rsidP="007E203B">
      <w:r>
        <w:t>_______________________________________________________________________________</w:t>
      </w:r>
    </w:p>
    <w:p w:rsidR="007E203B" w:rsidRDefault="007E203B" w:rsidP="007E203B">
      <w:r>
        <w:t>_______________________________________________________________________________</w:t>
      </w:r>
    </w:p>
    <w:p w:rsidR="007E203B" w:rsidRDefault="007E203B" w:rsidP="007E203B">
      <w:r>
        <w:t>_______________________________________________________________________________</w:t>
      </w:r>
    </w:p>
    <w:p w:rsidR="007E203B" w:rsidRDefault="007E203B" w:rsidP="007E203B">
      <w:r>
        <w:t>_______________________________________________________________________________</w:t>
      </w:r>
    </w:p>
    <w:p w:rsidR="007E203B" w:rsidRDefault="007E203B" w:rsidP="007E203B">
      <w:r>
        <w:t>_______________________________________________________________________________</w:t>
      </w:r>
    </w:p>
    <w:p w:rsidR="007E203B" w:rsidRDefault="007E203B" w:rsidP="007E203B">
      <w:r>
        <w:t>_______________________________________________________________________________</w:t>
      </w:r>
    </w:p>
    <w:p w:rsidR="00F14182" w:rsidRPr="00F14182" w:rsidRDefault="00F14182" w:rsidP="00F14182">
      <w:pPr>
        <w:ind w:firstLine="0"/>
      </w:pPr>
      <w:r w:rsidRPr="00F14182">
        <w:t>Способ предоставления результата:</w:t>
      </w:r>
    </w:p>
    <w:p w:rsidR="00F14182" w:rsidRPr="00F14182" w:rsidRDefault="00842946" w:rsidP="00F14182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20955</wp:posOffset>
                </wp:positionV>
                <wp:extent cx="144145" cy="144145"/>
                <wp:effectExtent l="0" t="0" r="27305" b="2730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6EB1" id="Rectangle 2" o:spid="_x0000_s1026" style="position:absolute;margin-left:78.5pt;margin-top:1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" strokeweight=".25pt">
                <v:shadow color="#7f7f7f [1601]" opacity=".5" offset="1pt"/>
              </v:rect>
            </w:pict>
          </mc:Fallback>
        </mc:AlternateContent>
      </w:r>
      <w:r w:rsidR="00F14182" w:rsidRPr="00F14182">
        <w:t>лично на руки</w:t>
      </w:r>
    </w:p>
    <w:p w:rsidR="00F14182" w:rsidRPr="00F14182" w:rsidRDefault="00842946" w:rsidP="00F14182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B726D" id="Rectangle 3" o:spid="_x0000_s1026" style="position:absolute;margin-left:94.25pt;margin-top:2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" strokeweight=".25pt">
                <v:shadow color="#7f7f7f" opacity=".5" offset="1pt"/>
              </v:rect>
            </w:pict>
          </mc:Fallback>
        </mc:AlternateContent>
      </w:r>
      <w:r w:rsidR="00F14182" w:rsidRPr="00F14182">
        <w:t>направить почтой</w:t>
      </w:r>
    </w:p>
    <w:p w:rsidR="00F14182" w:rsidRPr="00F14182" w:rsidRDefault="00F14182" w:rsidP="00F14182">
      <w:pPr>
        <w:ind w:firstLine="0"/>
      </w:pPr>
      <w:r w:rsidRPr="00F14182">
        <w:t>__________________________________________________________________________________________________________________________________________________________________________</w:t>
      </w:r>
    </w:p>
    <w:p w:rsidR="00F14182" w:rsidRPr="00F14182" w:rsidRDefault="00F14182" w:rsidP="00F14182">
      <w:pPr>
        <w:ind w:firstLine="0"/>
        <w:jc w:val="center"/>
      </w:pPr>
      <w:r w:rsidRPr="00F14182">
        <w:rPr>
          <w:sz w:val="16"/>
          <w:szCs w:val="16"/>
        </w:rPr>
        <w:t>(указывается адрес направления ответа заявителю)</w:t>
      </w:r>
    </w:p>
    <w:p w:rsidR="00F14182" w:rsidRPr="00F14182" w:rsidRDefault="00F14182" w:rsidP="00F14182">
      <w:r w:rsidRPr="00F14182">
        <w:t xml:space="preserve">Подтверждаю согласие на обработку моих персональных данных, предусмотренную </w:t>
      </w:r>
      <w:hyperlink r:id="rId8" w:history="1">
        <w:r w:rsidRPr="00F14182">
          <w:t>Федеральным законом</w:t>
        </w:r>
      </w:hyperlink>
      <w:r w:rsidRPr="00F14182">
        <w:t xml:space="preserve"> от 27 июля 2006 г. N 152-ФЗ "О персональных данных", в целях предоставления муниципальной услуги и обеспечения предоставления такой услуги.</w:t>
      </w:r>
    </w:p>
    <w:p w:rsidR="00F14182" w:rsidRPr="00F14182" w:rsidRDefault="00F14182" w:rsidP="00F14182">
      <w:pPr>
        <w:ind w:firstLine="0"/>
      </w:pPr>
      <w:r w:rsidRPr="00F14182">
        <w:t>Заявитель (представитель заявителя): _____________________________________________________</w:t>
      </w:r>
    </w:p>
    <w:p w:rsidR="00F14182" w:rsidRPr="00F14182" w:rsidRDefault="00F14182" w:rsidP="00F14182">
      <w:pPr>
        <w:ind w:firstLine="0"/>
        <w:jc w:val="center"/>
        <w:rPr>
          <w:sz w:val="16"/>
          <w:szCs w:val="16"/>
        </w:rPr>
      </w:pPr>
      <w:r w:rsidRPr="00F14182">
        <w:rPr>
          <w:sz w:val="16"/>
          <w:szCs w:val="16"/>
        </w:rPr>
        <w:t xml:space="preserve">                                                       (подпись, расшифровка подписи)</w:t>
      </w:r>
    </w:p>
    <w:p w:rsidR="00F14182" w:rsidRPr="00F14182" w:rsidRDefault="00F14182" w:rsidP="00F14182">
      <w:pPr>
        <w:ind w:firstLine="0"/>
      </w:pPr>
      <w:r w:rsidRPr="00F14182">
        <w:t>"______" _________________20____ г.</w:t>
      </w:r>
    </w:p>
    <w:p w:rsidR="00F14182" w:rsidRPr="00F14182" w:rsidRDefault="00F14182" w:rsidP="00F14182">
      <w:pPr>
        <w:ind w:firstLine="0"/>
      </w:pPr>
      <w:r w:rsidRPr="00F14182">
        <w:t>Документы приняты: _____________________________ входящий номер заявления: _____________</w:t>
      </w:r>
    </w:p>
    <w:p w:rsidR="00F14182" w:rsidRPr="00F14182" w:rsidRDefault="00F14182" w:rsidP="00F14182">
      <w:pPr>
        <w:ind w:left="2160" w:firstLine="0"/>
      </w:pPr>
      <w:r w:rsidRPr="00F14182">
        <w:rPr>
          <w:sz w:val="16"/>
          <w:szCs w:val="16"/>
        </w:rPr>
        <w:t xml:space="preserve">     (подпись, расшифровка подписи сотрудника)</w:t>
      </w:r>
      <w:r w:rsidRPr="00F14182">
        <w:t xml:space="preserve">               дата от "___" ____20____ г.</w:t>
      </w:r>
    </w:p>
    <w:p w:rsidR="00F14182" w:rsidRDefault="00F14182">
      <w:pPr>
        <w:jc w:val="right"/>
        <w:rPr>
          <w:rStyle w:val="a3"/>
          <w:rFonts w:ascii="Arial" w:hAnsi="Arial" w:cs="Arial"/>
          <w:bCs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D76D8" w:rsidRDefault="002D76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F0F3F" w:rsidRPr="007E203B" w:rsidRDefault="007E203B">
      <w:pPr>
        <w:jc w:val="right"/>
        <w:rPr>
          <w:rStyle w:val="a3"/>
          <w:rFonts w:ascii="Arial" w:hAnsi="Arial" w:cs="Arial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2</w:t>
      </w:r>
      <w:r w:rsidR="009F0F3F"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9F0F3F" w:rsidRPr="007E203B">
        <w:rPr>
          <w:rStyle w:val="a3"/>
          <w:rFonts w:ascii="Arial" w:hAnsi="Arial" w:cs="Arial"/>
          <w:bCs/>
          <w:color w:val="auto"/>
        </w:rPr>
        <w:t xml:space="preserve"> </w:t>
      </w:r>
      <w:r w:rsidR="009F0F3F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0"/>
    <w:p w:rsidR="009F0F3F" w:rsidRDefault="009F0F3F"/>
    <w:p w:rsidR="009F0F3F" w:rsidRDefault="009F0F3F">
      <w:pPr>
        <w:pStyle w:val="1"/>
      </w:pPr>
      <w:r>
        <w:t xml:space="preserve">Методика </w:t>
      </w:r>
      <w: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28697A" w:rsidRPr="0028697A">
        <w:t>Середского сельского поселения Даниловского муниципального района Ярославской области</w:t>
      </w:r>
    </w:p>
    <w:p w:rsidR="009F0F3F" w:rsidRPr="009F4649" w:rsidRDefault="009F0F3F" w:rsidP="009F4649">
      <w:r>
        <w:t>1. Для нестационарных торговых объектов, за исключением киосков, павильонов:</w:t>
      </w:r>
    </w:p>
    <w:p w:rsidR="009F0F3F" w:rsidRDefault="009F0F3F">
      <w: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:rsidR="009F0F3F" w:rsidRDefault="009F0F3F"/>
    <w:p w:rsidR="009F0F3F" w:rsidRDefault="00842946">
      <w:r>
        <w:rPr>
          <w:noProof/>
        </w:rPr>
        <w:drawing>
          <wp:inline distT="0" distB="0" distL="0" distR="0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F3F">
        <w:t xml:space="preserve"> ,где</w:t>
      </w:r>
    </w:p>
    <w:p w:rsidR="009F0F3F" w:rsidRDefault="009F0F3F"/>
    <w:p w:rsidR="009F0F3F" w:rsidRDefault="009F0F3F">
      <w:r>
        <w:t>П - размер начальной цены аукциона на право размещения Объекта на срок действия Договора;</w:t>
      </w:r>
    </w:p>
    <w:p w:rsidR="009F0F3F" w:rsidRPr="00E764AA" w:rsidRDefault="009F0F3F">
      <w:bookmarkStart w:id="2" w:name="sub_1115"/>
      <w:r w:rsidRPr="00E764AA">
        <w:t xml:space="preserve">С - базовая ставка в размере </w:t>
      </w:r>
      <w:r w:rsidR="00E764AA" w:rsidRPr="00E764AA">
        <w:t>234,01 рубл</w:t>
      </w:r>
      <w:r w:rsidR="00E764AA">
        <w:t>я</w:t>
      </w:r>
      <w:r w:rsidR="00E764AA" w:rsidRPr="00E764AA">
        <w:t xml:space="preserve"> – определена в размере 20% от среднего уровня кадастровой стоимости земельных участков категории земель «земли населенных пунктов сегмент «</w:t>
      </w:r>
      <w:r w:rsidR="00E764AA">
        <w:t>П</w:t>
      </w:r>
      <w:r w:rsidR="00E764AA" w:rsidRPr="00E764AA">
        <w:t>редпринимательство» в Даниловском муниципальном районе Ярославской области</w:t>
      </w:r>
      <w:r w:rsidRPr="00E764AA">
        <w:t xml:space="preserve">. </w:t>
      </w:r>
    </w:p>
    <w:bookmarkEnd w:id="2"/>
    <w:p w:rsidR="009F0F3F" w:rsidRDefault="009F0F3F">
      <w:proofErr w:type="spellStart"/>
      <w:r>
        <w:t>Кт</w:t>
      </w:r>
      <w:proofErr w:type="spellEnd"/>
      <w:r>
        <w:t xml:space="preserve"> - коэффициент типа и размера Объекта;</w:t>
      </w:r>
    </w:p>
    <w:p w:rsidR="009F0F3F" w:rsidRDefault="009F0F3F">
      <w:r>
        <w:t>Кс - коэффициент специализации Объекта;</w:t>
      </w:r>
    </w:p>
    <w:p w:rsidR="009F0F3F" w:rsidRDefault="009F0F3F">
      <w:proofErr w:type="spellStart"/>
      <w:r>
        <w:t>Кп</w:t>
      </w:r>
      <w:proofErr w:type="spellEnd"/>
      <w:r>
        <w:t xml:space="preserve"> - коэффициент коммерческой привлекательности места размещения Объекта;</w:t>
      </w:r>
    </w:p>
    <w:p w:rsidR="009F0F3F" w:rsidRDefault="009F0F3F">
      <w:r>
        <w:t>Т - срок действия Договора (в годах).</w:t>
      </w:r>
    </w:p>
    <w:p w:rsidR="009F0F3F" w:rsidRDefault="009F0F3F">
      <w:r>
        <w:t>1.2. Для сезонных нестационарных торговых объектов (далее - сезонный Объект) определяется по формуле:</w:t>
      </w:r>
    </w:p>
    <w:p w:rsidR="009F0F3F" w:rsidRDefault="009F0F3F"/>
    <w:p w:rsidR="009F0F3F" w:rsidRDefault="00842946">
      <w:r>
        <w:rPr>
          <w:noProof/>
        </w:rPr>
        <w:drawing>
          <wp:inline distT="0" distB="0" distL="0" distR="0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F3F">
        <w:t>, где</w:t>
      </w:r>
    </w:p>
    <w:p w:rsidR="009F0F3F" w:rsidRDefault="009F0F3F"/>
    <w:p w:rsidR="009F0F3F" w:rsidRDefault="009F0F3F">
      <w:r>
        <w:t>П - размер начальной цены аукциона на право размещения сезонного Объекта на срок действия Договора;</w:t>
      </w:r>
    </w:p>
    <w:p w:rsidR="00E764AA" w:rsidRPr="00E764AA" w:rsidRDefault="00E764AA" w:rsidP="00E764AA">
      <w:r w:rsidRPr="00E764AA">
        <w:t>С - базовая ставка в размере 234,01 рубл</w:t>
      </w:r>
      <w:r>
        <w:t>я</w:t>
      </w:r>
      <w:r w:rsidRPr="00E764AA">
        <w:t xml:space="preserve"> – определена в размере 20% от среднего уровня кадастровой стоимости земельных участков категории земель «земли населенных пунктов сегмент «</w:t>
      </w:r>
      <w:r>
        <w:t>П</w:t>
      </w:r>
      <w:r w:rsidRPr="00E764AA">
        <w:t xml:space="preserve">редпринимательство» в Даниловском муниципальном районе Ярославской области. </w:t>
      </w:r>
    </w:p>
    <w:p w:rsidR="009F0F3F" w:rsidRDefault="009F0F3F">
      <w:proofErr w:type="spellStart"/>
      <w:r>
        <w:t>Кт</w:t>
      </w:r>
      <w:proofErr w:type="spellEnd"/>
      <w:r>
        <w:t xml:space="preserve"> - коэффициент типа и размера сезонного Объекта;</w:t>
      </w:r>
    </w:p>
    <w:p w:rsidR="009F0F3F" w:rsidRDefault="009F0F3F">
      <w:r>
        <w:t>Кс - коэффициент специализации сезонного Объекта;</w:t>
      </w:r>
    </w:p>
    <w:p w:rsidR="009F0F3F" w:rsidRDefault="009F0F3F">
      <w:proofErr w:type="spellStart"/>
      <w:r>
        <w:t>Кп</w:t>
      </w:r>
      <w:proofErr w:type="spellEnd"/>
      <w:r>
        <w:t xml:space="preserve"> - коэффициент коммерческой привлекательности места размещения сезонного Объекта;</w:t>
      </w:r>
    </w:p>
    <w:p w:rsidR="009F0F3F" w:rsidRDefault="009F0F3F">
      <w:r>
        <w:t>Т - срок действия Договора (в месяцах).</w:t>
      </w:r>
    </w:p>
    <w:p w:rsidR="009F0F3F" w:rsidRDefault="009F0F3F"/>
    <w:p w:rsidR="009F0F3F" w:rsidRDefault="009F0F3F">
      <w:pPr>
        <w:pStyle w:val="1"/>
      </w:pPr>
      <w:r>
        <w:t>Коэффициенты типов и размеров передвижных и сезонных нестационарных торговых объектов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proofErr w:type="spellStart"/>
            <w:r>
              <w:t>Кт</w:t>
            </w:r>
            <w:proofErr w:type="spellEnd"/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bookmarkStart w:id="3" w:name="sub_1121"/>
            <w:r>
              <w:t>1.</w:t>
            </w:r>
            <w:bookmarkEnd w:id="3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4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 xml:space="preserve">Изотермическая емкость, </w:t>
            </w:r>
            <w:proofErr w:type="spellStart"/>
            <w:r>
              <w:t>кега</w:t>
            </w:r>
            <w:proofErr w:type="spellEnd"/>
            <w:r>
              <w:t xml:space="preserve">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4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Лоток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4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Лоток площадью от 4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6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lastRenderedPageBreak/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6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Автолавка, автомагазин, автоприцеп (</w:t>
            </w:r>
            <w:proofErr w:type="spellStart"/>
            <w:r>
              <w:t>тонар</w:t>
            </w:r>
            <w:proofErr w:type="spellEnd"/>
            <w:r>
              <w:t>) площадью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12</w:t>
            </w:r>
          </w:p>
        </w:tc>
      </w:tr>
    </w:tbl>
    <w:p w:rsidR="009F0F3F" w:rsidRDefault="009F0F3F"/>
    <w:p w:rsidR="009F0F3F" w:rsidRDefault="009F0F3F">
      <w:pPr>
        <w:pStyle w:val="1"/>
      </w:pPr>
      <w:r>
        <w:t>Коэффициент специализации передвижных и сезонных нестационарных торговых объектов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Кс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0,25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0,3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Мороженое, сладкая вата, поп-корн,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1,1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0,7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0,6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1,5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1,3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</w:t>
            </w:r>
          </w:p>
        </w:tc>
      </w:tr>
      <w:tr w:rsidR="00E764AA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Default="00E764AA" w:rsidP="00E764AA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Default="00FD036C" w:rsidP="00E764AA">
            <w:pPr>
              <w:pStyle w:val="ac"/>
            </w:pPr>
            <w:r>
              <w:t>Текстильная</w:t>
            </w:r>
            <w:r w:rsidR="00E764AA">
              <w:t xml:space="preserve"> и иная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4AA" w:rsidRDefault="00E764AA" w:rsidP="00E764AA">
            <w:pPr>
              <w:pStyle w:val="aa"/>
              <w:jc w:val="center"/>
            </w:pPr>
            <w:r>
              <w:t>2</w:t>
            </w:r>
          </w:p>
        </w:tc>
      </w:tr>
    </w:tbl>
    <w:p w:rsidR="009F0F3F" w:rsidRDefault="009F0F3F"/>
    <w:p w:rsidR="009F0F3F" w:rsidRDefault="009F0F3F">
      <w:pPr>
        <w:pStyle w:val="1"/>
      </w:pPr>
      <w:r>
        <w:t>Коэффициенты коммерческой привлекательности места размещения передвижных и сезонных нестационарных торговых объектов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4649">
            <w:pPr>
              <w:pStyle w:val="ac"/>
            </w:pPr>
            <w:r>
              <w:t>Населенный пункт с. Середа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E764AA">
            <w:pPr>
              <w:pStyle w:val="aa"/>
              <w:jc w:val="center"/>
            </w:pPr>
            <w:r>
              <w:t>1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 w:rsidP="009F4649">
            <w:pPr>
              <w:pStyle w:val="ac"/>
            </w:pPr>
            <w:r>
              <w:t xml:space="preserve">Иная территория </w:t>
            </w:r>
            <w:r w:rsidR="009F4649">
              <w:t xml:space="preserve">Середского </w:t>
            </w:r>
            <w:r w:rsidR="009F4649" w:rsidRPr="00BE474C">
              <w:t>сельского поселения Даниловского муниципального района Ярославской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E764AA">
            <w:pPr>
              <w:pStyle w:val="aa"/>
              <w:jc w:val="center"/>
            </w:pPr>
            <w:r>
              <w:t>0,5</w:t>
            </w:r>
          </w:p>
        </w:tc>
      </w:tr>
    </w:tbl>
    <w:p w:rsidR="009F0F3F" w:rsidRDefault="009F0F3F"/>
    <w:p w:rsidR="009F0F3F" w:rsidRDefault="009F0F3F">
      <w:r>
        <w:t>2. Для нестационарных торговых объектов (киоски, павильоны):</w:t>
      </w:r>
    </w:p>
    <w:p w:rsidR="009F0F3F" w:rsidRDefault="009F0F3F">
      <w: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:rsidR="009F0F3F" w:rsidRDefault="009F0F3F"/>
    <w:p w:rsidR="009F0F3F" w:rsidRDefault="00842946">
      <w:bookmarkStart w:id="4" w:name="sub_2202"/>
      <w:r>
        <w:rPr>
          <w:noProof/>
        </w:rPr>
        <w:drawing>
          <wp:inline distT="0" distB="0" distL="0" distR="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F3F">
        <w:t xml:space="preserve"> , где:</w:t>
      </w:r>
    </w:p>
    <w:bookmarkEnd w:id="4"/>
    <w:p w:rsidR="009F0F3F" w:rsidRDefault="009F0F3F"/>
    <w:p w:rsidR="009F0F3F" w:rsidRDefault="009F0F3F">
      <w:r>
        <w:t>П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:rsidR="00E764AA" w:rsidRPr="00E764AA" w:rsidRDefault="00E764AA" w:rsidP="00E764AA">
      <w:r w:rsidRPr="00E764AA">
        <w:t>С - базовая ставка в размере 234,01 рубл</w:t>
      </w:r>
      <w:r>
        <w:t>я</w:t>
      </w:r>
      <w:r w:rsidRPr="00E764AA">
        <w:t xml:space="preserve"> – определена в размере 20% от среднего уровня кадастровой стоимости земельных участков категории земель «земли населенных пунктов сегмент «</w:t>
      </w:r>
      <w:r>
        <w:t>П</w:t>
      </w:r>
      <w:r w:rsidRPr="00E764AA">
        <w:t xml:space="preserve">редпринимательство» в Даниловском муниципальном районе Ярославской области. </w:t>
      </w:r>
    </w:p>
    <w:p w:rsidR="009F0F3F" w:rsidRDefault="009F0F3F">
      <w:proofErr w:type="spellStart"/>
      <w:r>
        <w:t>Кт</w:t>
      </w:r>
      <w:proofErr w:type="spellEnd"/>
      <w:r>
        <w:t xml:space="preserve"> - коэффициент типа и размера нестационарного торгового объекта (киоска, павильона);</w:t>
      </w:r>
    </w:p>
    <w:p w:rsidR="009F0F3F" w:rsidRDefault="009F0F3F">
      <w:r>
        <w:t>Кс - коэффициент специализации нестационарного торгового объекта (киоска, павильона);</w:t>
      </w:r>
    </w:p>
    <w:p w:rsidR="009F0F3F" w:rsidRDefault="009F0F3F">
      <w:proofErr w:type="spellStart"/>
      <w:r>
        <w:t>Кп</w:t>
      </w:r>
      <w:proofErr w:type="spellEnd"/>
      <w:r>
        <w:t xml:space="preserve"> - коэффициент коммерческой привлекательности места размещения нестационарного торгового объекта (киоска, павильона);</w:t>
      </w:r>
    </w:p>
    <w:p w:rsidR="009F0F3F" w:rsidRDefault="009F0F3F">
      <w:r>
        <w:t>Т - срок действия Договора (в годах).</w:t>
      </w:r>
    </w:p>
    <w:p w:rsidR="009F0F3F" w:rsidRDefault="009F0F3F"/>
    <w:p w:rsidR="009F0F3F" w:rsidRDefault="009F0F3F">
      <w:pPr>
        <w:pStyle w:val="1"/>
      </w:pPr>
      <w:bookmarkStart w:id="5" w:name="sub_20"/>
      <w:r>
        <w:t>Коэффициенты типов и размеров нестационарных торговых объектов (киосков, павильонов)</w:t>
      </w:r>
    </w:p>
    <w:bookmarkEnd w:id="5"/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proofErr w:type="spellStart"/>
            <w:r>
              <w:t>Кт</w:t>
            </w:r>
            <w:proofErr w:type="spellEnd"/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7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14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16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Киоск площадью от 15 кв. м до 20 кв. м</w:t>
            </w:r>
          </w:p>
          <w:p w:rsidR="009F0F3F" w:rsidRDefault="009F0F3F">
            <w:pPr>
              <w:pStyle w:val="ac"/>
            </w:pPr>
            <w: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17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18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19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bookmarkStart w:id="6" w:name="sub_12110"/>
            <w:r>
              <w:t>8.</w:t>
            </w:r>
            <w:bookmarkEnd w:id="6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19</w:t>
            </w:r>
            <w:r w:rsidR="00842946">
              <w:rPr>
                <w:noProof/>
              </w:rPr>
              <w:drawing>
                <wp:inline distT="0" distB="0" distL="0" distR="0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bookmarkStart w:id="7" w:name="sub_121109"/>
            <w:r>
              <w:t>9.</w:t>
            </w:r>
            <w:bookmarkEnd w:id="7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F3F" w:rsidRDefault="009F0F3F">
            <w:pPr>
              <w:pStyle w:val="ac"/>
            </w:pPr>
            <w: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19 х 3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F3F" w:rsidRDefault="009F0F3F">
            <w:pPr>
              <w:pStyle w:val="ac"/>
            </w:pPr>
            <w: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19 х 4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F3F" w:rsidRDefault="009F0F3F">
            <w:pPr>
              <w:pStyle w:val="ac"/>
            </w:pPr>
            <w: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19 х 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F3F" w:rsidRDefault="009F0F3F">
            <w:pPr>
              <w:pStyle w:val="ac"/>
            </w:pPr>
            <w: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19 х 6</w:t>
            </w:r>
          </w:p>
        </w:tc>
      </w:tr>
    </w:tbl>
    <w:p w:rsidR="009F0F3F" w:rsidRDefault="009F0F3F"/>
    <w:p w:rsidR="009F0F3F" w:rsidRDefault="009F0F3F">
      <w:pPr>
        <w:pStyle w:val="1"/>
      </w:pPr>
      <w:bookmarkStart w:id="8" w:name="sub_1203"/>
      <w:r>
        <w:t>Коэффициент специализации нестационарных торговых объектов (киосков, павильонов)</w:t>
      </w:r>
    </w:p>
    <w:bookmarkEnd w:id="8"/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Кс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0,125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0,25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0,5</w:t>
            </w:r>
          </w:p>
        </w:tc>
      </w:tr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c"/>
            </w:pPr>
            <w: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0,7</w:t>
            </w:r>
          </w:p>
        </w:tc>
      </w:tr>
      <w:tr w:rsidR="00E764AA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Default="00E764AA">
            <w:pPr>
              <w:pStyle w:val="aa"/>
              <w:jc w:val="center"/>
            </w:pPr>
            <w:r>
              <w:t>5</w:t>
            </w:r>
            <w:r w:rsidR="00FD036C">
              <w:t>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Default="00FD036C">
            <w:pPr>
              <w:pStyle w:val="ac"/>
            </w:pPr>
            <w:r>
              <w:t>Текстильная и иная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4AA" w:rsidRDefault="00E764AA">
            <w:pPr>
              <w:pStyle w:val="aa"/>
              <w:jc w:val="center"/>
            </w:pPr>
            <w:r>
              <w:t>2</w:t>
            </w:r>
          </w:p>
        </w:tc>
      </w:tr>
    </w:tbl>
    <w:p w:rsidR="009F0F3F" w:rsidRDefault="009F0F3F"/>
    <w:p w:rsidR="009F0F3F" w:rsidRDefault="009F0F3F">
      <w:pPr>
        <w:pStyle w:val="1"/>
      </w:pPr>
      <w:r>
        <w:t>Коэффициенты коммерческой привлекательности места размещения нестационарных торговых объектов (киосков, павильонов)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509"/>
        <w:gridCol w:w="1201"/>
      </w:tblGrid>
      <w:tr w:rsidR="009F0F3F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9261FA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A" w:rsidRDefault="009261FA" w:rsidP="009261FA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A" w:rsidRPr="000E5936" w:rsidRDefault="009261FA" w:rsidP="009261FA">
            <w:pPr>
              <w:ind w:firstLine="0"/>
            </w:pPr>
            <w:r w:rsidRPr="000E5936">
              <w:t>Населенный пункт с. Середа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FA" w:rsidRDefault="00E764AA" w:rsidP="009261FA">
            <w:pPr>
              <w:pStyle w:val="aa"/>
              <w:jc w:val="center"/>
            </w:pPr>
            <w:r>
              <w:t>1</w:t>
            </w:r>
          </w:p>
        </w:tc>
      </w:tr>
      <w:tr w:rsidR="009261FA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A" w:rsidRDefault="009261FA" w:rsidP="009261FA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A" w:rsidRDefault="009261FA" w:rsidP="009261FA">
            <w:pPr>
              <w:ind w:firstLine="0"/>
            </w:pPr>
            <w:r w:rsidRPr="000E5936">
              <w:t>Иная территория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1FA" w:rsidRDefault="00E764AA" w:rsidP="009261FA">
            <w:pPr>
              <w:pStyle w:val="aa"/>
              <w:jc w:val="center"/>
            </w:pPr>
            <w:r>
              <w:t>0,5</w:t>
            </w:r>
          </w:p>
        </w:tc>
      </w:tr>
    </w:tbl>
    <w:p w:rsidR="009F0F3F" w:rsidRDefault="009F0F3F"/>
    <w:p w:rsidR="00B80E21" w:rsidRDefault="009F0F3F" w:rsidP="00B80E21">
      <w:bookmarkStart w:id="9" w:name="sub_1111"/>
      <w:r>
        <w:t>* Размер начальной цены аукциона определяется в полных рублях. При этом часть суммы, составляющая менее 50 копеек, отбрасывается, а часть, равная 50 копейкам и более, округляется до полного рубля.</w:t>
      </w:r>
      <w:bookmarkStart w:id="10" w:name="sub_200"/>
      <w:bookmarkEnd w:id="9"/>
    </w:p>
    <w:p w:rsidR="00E764AA" w:rsidRDefault="00E764AA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764AA" w:rsidRDefault="00E764AA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764AA" w:rsidRDefault="00E764AA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764AA" w:rsidRDefault="00E764AA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764AA" w:rsidRDefault="00E764AA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764AA" w:rsidRDefault="00E764AA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7E203B" w:rsidP="00B80E21">
      <w:pPr>
        <w:jc w:val="right"/>
        <w:rPr>
          <w:rStyle w:val="a3"/>
          <w:rFonts w:ascii="Times New Roman" w:hAnsi="Times New Roman" w:cs="Times New Roman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t>Приложение 3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 к </w:t>
      </w:r>
      <w:r w:rsidR="009261FA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10"/>
    <w:p w:rsidR="009F0F3F" w:rsidRPr="002D76D8" w:rsidRDefault="009F0F3F">
      <w:pPr>
        <w:rPr>
          <w:rFonts w:ascii="Times New Roman" w:hAnsi="Times New Roman" w:cs="Times New Roman"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1" w:name="sub_201"/>
      <w:r w:rsidRPr="002D76D8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11"/>
    <w:p w:rsidR="009F0F3F" w:rsidRDefault="009F0F3F"/>
    <w:p w:rsidR="009F0F3F" w:rsidRDefault="009F0F3F">
      <w:pPr>
        <w:pStyle w:val="1"/>
      </w:pPr>
      <w:r>
        <w:t xml:space="preserve">Договор </w:t>
      </w:r>
      <w:r>
        <w:br/>
        <w:t>на право размещения нестационарного торгового объекта N ______</w:t>
      </w:r>
    </w:p>
    <w:p w:rsidR="009F0F3F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F0F3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261FA" w:rsidP="009261FA">
            <w:pPr>
              <w:pStyle w:val="ac"/>
            </w:pPr>
            <w:r>
              <w:t>с</w:t>
            </w:r>
            <w:r w:rsidR="009F0F3F">
              <w:t xml:space="preserve">. </w:t>
            </w:r>
            <w:r>
              <w:t>Середа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Pr="00842946" w:rsidRDefault="009F0F3F">
      <w:bookmarkStart w:id="12" w:name="sub_10"/>
      <w:r w:rsidRPr="00842946">
        <w:t xml:space="preserve">От </w:t>
      </w:r>
      <w:r w:rsidR="003010EB" w:rsidRPr="00842946">
        <w:t xml:space="preserve">администрации </w:t>
      </w:r>
      <w:r w:rsidR="009261FA" w:rsidRPr="00842946">
        <w:t xml:space="preserve">Середского сельского поселения Даниловского муниципального района Ярославской области </w:t>
      </w:r>
      <w:r w:rsidRPr="00842946">
        <w:t>________________________________________________________,</w:t>
      </w:r>
    </w:p>
    <w:bookmarkEnd w:id="12"/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именуемая в дальнейшем "</w:t>
      </w:r>
      <w:r w:rsidR="009261FA" w:rsidRPr="00842946">
        <w:t>Администрация</w:t>
      </w:r>
      <w:r w:rsidRPr="00842946">
        <w:t>", и 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_________________________________________________________________________ _,</w:t>
      </w:r>
    </w:p>
    <w:p w:rsidR="009F0F3F" w:rsidRPr="00842946" w:rsidRDefault="009F0F3F" w:rsidP="009261FA">
      <w:pPr>
        <w:ind w:firstLine="0"/>
      </w:pPr>
      <w:r w:rsidRPr="00842946">
        <w:t>действующего на основании ______________________________________________________,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>
        <w:t>_______________________________</w:t>
      </w:r>
      <w:r w:rsidRPr="00842946">
        <w:t>, заключили настоящий договор (далее - Договор) о нижеследующем: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3" w:name="sub_210"/>
      <w:r w:rsidRPr="00842946">
        <w:rPr>
          <w:color w:val="auto"/>
        </w:rPr>
        <w:t>1. Предмет договора</w:t>
      </w:r>
    </w:p>
    <w:bookmarkEnd w:id="13"/>
    <w:p w:rsidR="009F0F3F" w:rsidRPr="00842946" w:rsidRDefault="009F0F3F"/>
    <w:p w:rsidR="009F0F3F" w:rsidRPr="00842946" w:rsidRDefault="009F0F3F">
      <w:bookmarkStart w:id="14" w:name="sub_211"/>
      <w:r w:rsidRPr="00842946">
        <w:t>1.1. "</w:t>
      </w:r>
      <w:r w:rsidR="009261FA" w:rsidRPr="00842946">
        <w:t>Администрация</w:t>
      </w:r>
      <w:r w:rsidRPr="00842946"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пунктах 1.2</w:t>
        </w:r>
      </w:hyperlink>
      <w:r w:rsidRPr="00842946">
        <w:t xml:space="preserve">, </w:t>
      </w:r>
      <w:hyperlink w:anchor="sub_213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 (далее - нестационарный торговый объект), на месте размещения, расположенном по адресу:</w:t>
      </w:r>
    </w:p>
    <w:bookmarkEnd w:id="14"/>
    <w:p w:rsidR="009F0F3F" w:rsidRPr="00842946" w:rsidRDefault="009F0F3F" w:rsidP="009261FA">
      <w:pPr>
        <w:ind w:firstLine="0"/>
      </w:pPr>
      <w:r w:rsidRPr="00842946">
        <w:t>____________________________________________________,</w:t>
      </w:r>
    </w:p>
    <w:p w:rsidR="009F0F3F" w:rsidRPr="00842946" w:rsidRDefault="009F0F3F" w:rsidP="009261FA">
      <w:pPr>
        <w:ind w:firstLine="0"/>
      </w:pPr>
      <w:r w:rsidRPr="00842946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9261FA" w:rsidRPr="00842946">
        <w:t>Середского сельского поселения Даниловского муниципального района Ярославской области</w:t>
      </w:r>
      <w:r w:rsidRPr="00842946">
        <w:t xml:space="preserve">, утвержденную </w:t>
      </w:r>
      <w:r w:rsidR="009261FA" w:rsidRPr="00842946">
        <w:t>постановлением администрации Середского сельского поселения Даниловского муниципального района Ярославской области</w:t>
      </w:r>
      <w:r w:rsidRPr="00842946">
        <w:t xml:space="preserve"> от ____________ N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9261FA" w:rsidRPr="00842946">
        <w:t>администрации Середского сельского поселения Даниловского муниципального района Ярославской области</w:t>
      </w:r>
      <w:r w:rsidRPr="00842946">
        <w:t>.</w:t>
      </w:r>
    </w:p>
    <w:p w:rsidR="009F0F3F" w:rsidRPr="00842946" w:rsidRDefault="009F0F3F">
      <w:bookmarkStart w:id="15" w:name="sub_212"/>
      <w:r w:rsidRPr="00842946">
        <w:t>1.2. Нестационарный торговый объект: тип: __________________________________;</w:t>
      </w:r>
    </w:p>
    <w:bookmarkEnd w:id="15"/>
    <w:p w:rsidR="009F0F3F" w:rsidRPr="00842946" w:rsidRDefault="009F0F3F">
      <w:r w:rsidRPr="00842946">
        <w:t>площадь ________________ кв. м.</w:t>
      </w:r>
    </w:p>
    <w:p w:rsidR="009F0F3F" w:rsidRPr="00842946" w:rsidRDefault="009F0F3F">
      <w:bookmarkStart w:id="16" w:name="sub_213"/>
      <w:r w:rsidRPr="00842946">
        <w:t>1.3. Специализация нестационарного торгового объекта:</w:t>
      </w:r>
    </w:p>
    <w:bookmarkEnd w:id="16"/>
    <w:p w:rsidR="009F0F3F" w:rsidRPr="00842946" w:rsidRDefault="009F0F3F">
      <w:r w:rsidRPr="00842946">
        <w:t>________________________________</w:t>
      </w:r>
    </w:p>
    <w:p w:rsidR="009F0F3F" w:rsidRPr="00842946" w:rsidRDefault="009F0F3F">
      <w:r w:rsidRPr="00842946">
        <w:t>____________________________________________________________________ _________.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" w:name="sub_2000"/>
      <w:r w:rsidRPr="00842946">
        <w:rPr>
          <w:color w:val="auto"/>
        </w:rPr>
        <w:t>2. Обязательства сторон</w:t>
      </w:r>
    </w:p>
    <w:bookmarkEnd w:id="17"/>
    <w:p w:rsidR="009F0F3F" w:rsidRPr="00842946" w:rsidRDefault="009F0F3F"/>
    <w:p w:rsidR="009F0F3F" w:rsidRPr="00842946" w:rsidRDefault="009F0F3F">
      <w:bookmarkStart w:id="18" w:name="sub_2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обязана:</w:t>
      </w:r>
    </w:p>
    <w:p w:rsidR="009F0F3F" w:rsidRPr="00842946" w:rsidRDefault="009F0F3F">
      <w:bookmarkStart w:id="19" w:name="sub_2111"/>
      <w:bookmarkEnd w:id="18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20" w:name="sub_2112"/>
      <w:bookmarkEnd w:id="19"/>
      <w:r w:rsidRPr="00842946">
        <w:lastRenderedPageBreak/>
        <w:t>2.1.2. Обследовать размещенный нестационарный торговый объект в течение 3 рабочих дней со дня получения уведомления от "Владельца нестационарного торгового объекта" о фактическом размещении объекта.</w:t>
      </w:r>
    </w:p>
    <w:p w:rsidR="009F0F3F" w:rsidRPr="00842946" w:rsidRDefault="009F0F3F">
      <w:bookmarkStart w:id="21" w:name="sub_2113"/>
      <w:bookmarkEnd w:id="20"/>
      <w:r w:rsidRPr="00842946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22" w:name="sub_2114"/>
      <w:bookmarkEnd w:id="21"/>
      <w:r w:rsidRPr="00842946">
        <w:t xml:space="preserve">2.1.4. В случае необходимости освобождения места размещения объекта для нужд </w:t>
      </w:r>
      <w:r w:rsidR="003010EB" w:rsidRPr="00842946">
        <w:t>поселения или района</w:t>
      </w:r>
      <w:r w:rsidRPr="00842946">
        <w:t xml:space="preserve">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23" w:name="sub_22"/>
      <w:bookmarkEnd w:id="22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24" w:name="sub_2021"/>
      <w:bookmarkEnd w:id="23"/>
      <w:r w:rsidRPr="00842946">
        <w:t>2.2.1. Осуществлять контроль за соблюдением "Владельцем нестационарного торгового объекта" условий Договора.</w:t>
      </w:r>
    </w:p>
    <w:p w:rsidR="009F0F3F" w:rsidRPr="00842946" w:rsidRDefault="009F0F3F">
      <w:bookmarkStart w:id="25" w:name="sub_2022"/>
      <w:bookmarkEnd w:id="24"/>
      <w:r w:rsidRPr="00842946">
        <w:t>2.2.2. Составлять акты о соблюдении "Владельцем нестационарного торгового объекта" условий Договора.</w:t>
      </w:r>
    </w:p>
    <w:p w:rsidR="009F0F3F" w:rsidRPr="00842946" w:rsidRDefault="009F0F3F">
      <w:bookmarkStart w:id="26" w:name="sub_2023"/>
      <w:bookmarkEnd w:id="25"/>
      <w:r w:rsidRPr="00842946"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27" w:name="sub_2024"/>
      <w:bookmarkEnd w:id="26"/>
      <w:r w:rsidRPr="00842946">
        <w:t xml:space="preserve">2.2.4. В одностороннем порядке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28" w:name="sub_201225"/>
      <w:bookmarkEnd w:id="27"/>
      <w:r w:rsidRPr="00842946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29" w:name="sub_23"/>
      <w:bookmarkEnd w:id="28"/>
      <w:r w:rsidRPr="00842946">
        <w:t>2.3. "Владелец нестационарного торгового объекта" обязан:</w:t>
      </w:r>
    </w:p>
    <w:p w:rsidR="009F0F3F" w:rsidRPr="00842946" w:rsidRDefault="009F0F3F">
      <w:bookmarkStart w:id="30" w:name="sub_2031"/>
      <w:bookmarkEnd w:id="29"/>
      <w:r w:rsidRPr="00842946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9F0F3F" w:rsidRPr="00842946" w:rsidRDefault="009F0F3F">
      <w:bookmarkStart w:id="31" w:name="sub_232"/>
      <w:bookmarkEnd w:id="30"/>
      <w:r w:rsidRPr="00842946">
        <w:t xml:space="preserve">2.3.2. Разместить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сохранять местоположение нестационарного торгового объекта в течение срока действия Договора.</w:t>
      </w:r>
    </w:p>
    <w:p w:rsidR="009F0F3F" w:rsidRPr="00842946" w:rsidRDefault="009F0F3F">
      <w:bookmarkStart w:id="32" w:name="sub_2033"/>
      <w:bookmarkEnd w:id="31"/>
      <w:r w:rsidRPr="00842946">
        <w:t xml:space="preserve">2.3.3. Использовать нестационарный торговый объект с характеристиками, указанными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1.2</w:t>
        </w:r>
      </w:hyperlink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33" w:name="sub_201234"/>
      <w:bookmarkEnd w:id="32"/>
      <w:r w:rsidRPr="00842946">
        <w:t xml:space="preserve">2.3.4. Сохранять специализацию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33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34" w:name="sub_2351"/>
      <w:r w:rsidRPr="00842946">
        <w:t>1) соблюдение общих требований к размещению нестационарного торгового объекта, а именно:</w:t>
      </w:r>
    </w:p>
    <w:bookmarkEnd w:id="34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35" w:name="sub_2352"/>
      <w:r w:rsidRPr="00842946">
        <w:t>2) соблюдение следующих запретов в процессе размещения и эксплуатации нестационарного торгового объекта:</w:t>
      </w:r>
    </w:p>
    <w:bookmarkEnd w:id="35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 xml:space="preserve"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</w:t>
      </w:r>
      <w:r w:rsidRPr="00842946">
        <w:lastRenderedPageBreak/>
        <w:t>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3010EB">
      <w:bookmarkStart w:id="36" w:name="sub_2353"/>
      <w:r w:rsidRPr="00842946">
        <w:t>3)</w:t>
      </w:r>
      <w:r w:rsidR="009F0F3F" w:rsidRPr="00842946"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36"/>
    <w:p w:rsidR="009F0F3F" w:rsidRPr="00842946" w:rsidRDefault="009F0F3F">
      <w:r w:rsidRPr="00842946">
        <w:t>- максимальное количество этажей не должно превышать 1 этажа;</w:t>
      </w:r>
    </w:p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37" w:name="sub_23516"/>
      <w:r w:rsidRPr="00842946">
        <w:t xml:space="preserve"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</w:t>
      </w:r>
      <w:proofErr w:type="spellStart"/>
      <w:r w:rsidRPr="00842946">
        <w:t>рольставней</w:t>
      </w:r>
      <w:proofErr w:type="spellEnd"/>
      <w:r w:rsidRPr="00842946">
        <w:t>;</w:t>
      </w:r>
    </w:p>
    <w:bookmarkEnd w:id="37"/>
    <w:p w:rsidR="009F0F3F" w:rsidRPr="00842946" w:rsidRDefault="009F0F3F">
      <w:r w:rsidRPr="00842946">
        <w:t>- высота нестационарного торгового объекта составляет 3,55 м;</w:t>
      </w:r>
    </w:p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842946">
        <w:t>страбоскопов</w:t>
      </w:r>
      <w:proofErr w:type="spellEnd"/>
      <w:r w:rsidRPr="00842946">
        <w:t xml:space="preserve"> в оформлении вывесок;</w:t>
      </w:r>
    </w:p>
    <w:p w:rsidR="009F0F3F" w:rsidRPr="00842946" w:rsidRDefault="009F0F3F">
      <w:r w:rsidRPr="00842946"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нестационарный торговый объект оборудуется элементами внешней декоративной подсветки;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9F0F3F" w:rsidRPr="00842946" w:rsidRDefault="009F0F3F">
      <w:r w:rsidRPr="00842946">
        <w:t>- в качестве незаглубленных фундаментов павильонов должны применяться железобетонные плиты;</w:t>
      </w:r>
    </w:p>
    <w:p w:rsidR="009F0F3F" w:rsidRPr="00842946" w:rsidRDefault="009F0F3F">
      <w:r w:rsidRPr="00842946">
        <w:t>- устройство фундамента при размещении киоска не допускается;</w:t>
      </w:r>
    </w:p>
    <w:p w:rsidR="009F0F3F" w:rsidRPr="00842946" w:rsidRDefault="009F0F3F">
      <w:r w:rsidRPr="00842946"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9F0F3F" w:rsidRPr="00842946" w:rsidRDefault="009F0F3F">
      <w:bookmarkStart w:id="38" w:name="sub_2354"/>
      <w:r w:rsidRPr="00842946">
        <w:t>4) благоустройство территории, прилегающей к нестационарному торговому объекту с учетом следующих требований:</w:t>
      </w:r>
    </w:p>
    <w:p w:rsidR="009F0F3F" w:rsidRPr="00842946" w:rsidRDefault="009F0F3F">
      <w:bookmarkStart w:id="39" w:name="sub_23530"/>
      <w:bookmarkEnd w:id="38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40" w:name="sub_23531"/>
      <w:bookmarkEnd w:id="39"/>
      <w:r w:rsidRPr="00842946"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40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 xml:space="preserve">- в границах благоустроенной территории в весенне-летний период размещаются элементы </w:t>
      </w:r>
      <w:r w:rsidRPr="00842946">
        <w:lastRenderedPageBreak/>
        <w:t>мобильного озеленения.</w:t>
      </w:r>
    </w:p>
    <w:p w:rsidR="009F0F3F" w:rsidRPr="00842946" w:rsidRDefault="009F0F3F">
      <w:r w:rsidRPr="00842946"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9F0F3F" w:rsidRPr="00842946" w:rsidRDefault="009F0F3F">
      <w:bookmarkStart w:id="41" w:name="sub_236"/>
      <w:r w:rsidRPr="00842946">
        <w:t>2.3.6. В течение 7 дней письменно уведомить "</w:t>
      </w:r>
      <w:r w:rsidR="003010EB" w:rsidRPr="00842946">
        <w:t>Администрацию</w:t>
      </w:r>
      <w:r w:rsidRPr="00842946">
        <w:t>" о факте размещения нестационарного торгового объекта, его демонтаже.</w:t>
      </w:r>
    </w:p>
    <w:p w:rsidR="009F0F3F" w:rsidRPr="00842946" w:rsidRDefault="009F0F3F">
      <w:bookmarkStart w:id="42" w:name="sub_237"/>
      <w:bookmarkEnd w:id="41"/>
      <w:r w:rsidRPr="00842946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42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43" w:name="sub_2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44" w:name="sub_2310"/>
      <w:bookmarkEnd w:id="43"/>
      <w:r w:rsidRPr="00842946"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45" w:name="sub_2311"/>
      <w:bookmarkEnd w:id="44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46" w:name="sub_2312"/>
      <w:bookmarkEnd w:id="45"/>
      <w:r w:rsidRPr="00842946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47" w:name="sub_2313"/>
      <w:bookmarkEnd w:id="46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48" w:name="sub_2314"/>
      <w:bookmarkEnd w:id="47"/>
      <w:r w:rsidRPr="00842946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49" w:name="sub_224"/>
      <w:bookmarkEnd w:id="48"/>
      <w:r w:rsidRPr="00842946">
        <w:t>2.4. "Владелец нестационарного торгового объекта" вправе:</w:t>
      </w:r>
    </w:p>
    <w:p w:rsidR="009F0F3F" w:rsidRPr="00842946" w:rsidRDefault="009F0F3F">
      <w:bookmarkStart w:id="50" w:name="sub_241"/>
      <w:bookmarkEnd w:id="49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51" w:name="sub_242"/>
      <w:bookmarkEnd w:id="50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9F0F3F" w:rsidRPr="00842946" w:rsidRDefault="009F0F3F">
      <w:bookmarkStart w:id="52" w:name="sub_225"/>
      <w:bookmarkEnd w:id="51"/>
      <w:r w:rsidRPr="00842946">
        <w:t xml:space="preserve">2.5. "Владелец нестационарного торгового объекта" вправе передать права и обязанности по Договору третьему лицу с предварительным письменным уведомлением </w:t>
      </w:r>
      <w:r w:rsidR="003010EB" w:rsidRPr="00842946">
        <w:t>администрации Середского сельского поселения Даниловского муниципального района Ярославской области</w:t>
      </w:r>
      <w:r w:rsidRPr="00842946">
        <w:t>.</w:t>
      </w:r>
    </w:p>
    <w:bookmarkEnd w:id="52"/>
    <w:p w:rsidR="009F0F3F" w:rsidRDefault="009F0F3F"/>
    <w:p w:rsidR="009F0F3F" w:rsidRDefault="009F0F3F">
      <w:pPr>
        <w:pStyle w:val="1"/>
      </w:pPr>
      <w:bookmarkStart w:id="53" w:name="sub_2003"/>
      <w:r>
        <w:t>3. Размер, порядок и сроки оплаты цены права на размещение нестационарного торгового объекта</w:t>
      </w:r>
    </w:p>
    <w:bookmarkEnd w:id="53"/>
    <w:p w:rsidR="009F0F3F" w:rsidRDefault="009F0F3F"/>
    <w:p w:rsidR="009F0F3F" w:rsidRPr="00B80E21" w:rsidRDefault="009F0F3F" w:rsidP="00B80E21">
      <w:pPr>
        <w:rPr>
          <w:color w:val="FF0000"/>
        </w:rPr>
      </w:pPr>
      <w:bookmarkStart w:id="54" w:name="sub_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>методикой определения начальной цены аукциона на право размещения нестационарных торговых объектов на территории Середского сельского поселения Даниловского муниципального района Ярославской области</w:t>
      </w:r>
      <w:r w:rsidR="004416E7" w:rsidRPr="00E764AA">
        <w:t>)</w:t>
      </w:r>
      <w:r w:rsidRPr="00E764AA">
        <w:t xml:space="preserve"> цена права на размещение </w:t>
      </w:r>
      <w:r>
        <w:t xml:space="preserve">нестационарного </w:t>
      </w:r>
      <w:r w:rsidRPr="00842946">
        <w:t>торгового объекта составляет</w:t>
      </w:r>
    </w:p>
    <w:bookmarkEnd w:id="54"/>
    <w:p w:rsidR="009F0F3F" w:rsidRPr="00842946" w:rsidRDefault="009F0F3F">
      <w:r w:rsidRPr="00842946">
        <w:t>__________________________________________________________________ руб.</w:t>
      </w:r>
    </w:p>
    <w:p w:rsidR="009F0F3F" w:rsidRPr="00842946" w:rsidRDefault="009F0F3F">
      <w:r w:rsidRPr="00842946"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9F0F3F" w:rsidRPr="00842946" w:rsidRDefault="009F0F3F">
      <w:bookmarkStart w:id="55" w:name="sub_32"/>
      <w:r w:rsidRPr="00842946">
        <w:t>3.2. Оплата суммы в размере ___________________________________________ руб.</w:t>
      </w:r>
    </w:p>
    <w:bookmarkEnd w:id="55"/>
    <w:p w:rsidR="009F0F3F" w:rsidRPr="00842946" w:rsidRDefault="009F0F3F">
      <w:r w:rsidRPr="00842946">
        <w:lastRenderedPageBreak/>
        <w:t>осуществляется в следующем порядке: _______________________________________.</w:t>
      </w:r>
    </w:p>
    <w:p w:rsidR="009F0F3F" w:rsidRPr="00842946" w:rsidRDefault="009F0F3F">
      <w:bookmarkStart w:id="56" w:name="sub_20133"/>
      <w:r w:rsidRPr="00842946">
        <w:t>Оплата осуществляется путем перечисления денежных средств по следующим реквизитам:</w:t>
      </w:r>
    </w:p>
    <w:bookmarkEnd w:id="56"/>
    <w:p w:rsidR="009F0F3F" w:rsidRPr="00842946" w:rsidRDefault="009F0F3F">
      <w:r w:rsidRPr="00842946">
        <w:t>____________________________________________________________________ _______.</w:t>
      </w:r>
    </w:p>
    <w:p w:rsidR="009F0F3F" w:rsidRPr="00842946" w:rsidRDefault="009F0F3F">
      <w:bookmarkStart w:id="57" w:name="sub_330"/>
      <w:r w:rsidRPr="00842946"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57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8" w:name="sub_204"/>
      <w:r w:rsidRPr="00842946">
        <w:rPr>
          <w:color w:val="auto"/>
        </w:rPr>
        <w:t>4. Срок действия договора</w:t>
      </w:r>
    </w:p>
    <w:bookmarkEnd w:id="58"/>
    <w:p w:rsidR="009F0F3F" w:rsidRPr="00842946" w:rsidRDefault="009F0F3F"/>
    <w:p w:rsidR="009F0F3F" w:rsidRPr="00842946" w:rsidRDefault="009F0F3F">
      <w:r w:rsidRPr="00842946"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78188B">
      <w:pPr>
        <w:pStyle w:val="1"/>
        <w:rPr>
          <w:color w:val="auto"/>
        </w:rPr>
      </w:pPr>
      <w:bookmarkStart w:id="59" w:name="sub_205"/>
      <w:r w:rsidRPr="00842946">
        <w:rPr>
          <w:color w:val="auto"/>
        </w:rPr>
        <w:t>5. Ответственность "В</w:t>
      </w:r>
      <w:r w:rsidR="009F0F3F" w:rsidRPr="00842946">
        <w:rPr>
          <w:color w:val="auto"/>
        </w:rPr>
        <w:t>ладельца нестационарного торгового объекта"</w:t>
      </w:r>
    </w:p>
    <w:bookmarkEnd w:id="59"/>
    <w:p w:rsidR="009F0F3F" w:rsidRPr="00842946" w:rsidRDefault="009F0F3F"/>
    <w:p w:rsidR="009F0F3F" w:rsidRPr="00842946" w:rsidRDefault="009F0F3F">
      <w:r w:rsidRPr="00842946"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9F0F3F" w:rsidRPr="00842946" w:rsidRDefault="009F0F3F">
      <w:bookmarkStart w:id="60" w:name="sub_2052"/>
      <w:r w:rsidRPr="00842946"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9F0F3F" w:rsidRPr="00842946" w:rsidRDefault="009F0F3F">
      <w:bookmarkStart w:id="61" w:name="sub_2053"/>
      <w:bookmarkEnd w:id="60"/>
      <w:r w:rsidRPr="00842946"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62" w:name="sub_2054"/>
      <w:bookmarkEnd w:id="61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63" w:name="sub_2055"/>
      <w:bookmarkEnd w:id="62"/>
      <w:r w:rsidRPr="00842946"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63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64" w:name="sub_206"/>
      <w:r w:rsidRPr="00842946">
        <w:rPr>
          <w:color w:val="auto"/>
        </w:rPr>
        <w:t>6. Расторжение договора</w:t>
      </w:r>
    </w:p>
    <w:bookmarkEnd w:id="64"/>
    <w:p w:rsidR="009F0F3F" w:rsidRPr="00842946" w:rsidRDefault="009F0F3F"/>
    <w:p w:rsidR="009F0F3F" w:rsidRPr="00842946" w:rsidRDefault="009F0F3F">
      <w:bookmarkStart w:id="65" w:name="sub_61"/>
      <w:r w:rsidRPr="00842946">
        <w:t>6.1. Договор подлежит расторжению "</w:t>
      </w:r>
      <w:r w:rsidR="000512C1" w:rsidRPr="00842946">
        <w:t>Администрацией</w:t>
      </w:r>
      <w:r w:rsidRPr="00842946">
        <w:t>" досрочно в одностороннем порядке с уведомлением "Владельца нестационарного торгового объекта" в случаях:</w:t>
      </w:r>
    </w:p>
    <w:p w:rsidR="009F0F3F" w:rsidRPr="00842946" w:rsidRDefault="009F0F3F">
      <w:bookmarkStart w:id="66" w:name="sub_611"/>
      <w:bookmarkEnd w:id="65"/>
      <w:r w:rsidRPr="00842946"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67" w:name="sub_612"/>
      <w:bookmarkEnd w:id="66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68" w:name="sub_613"/>
      <w:bookmarkEnd w:id="67"/>
      <w:r w:rsidRPr="00842946">
        <w:t xml:space="preserve">3)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отказе "Владельца нестационарного торгового объекта" переместить нестационарный торговый </w:t>
      </w:r>
      <w:r w:rsidRPr="00842946">
        <w:lastRenderedPageBreak/>
        <w:t>объект на компенсационное место размещения;</w:t>
      </w:r>
    </w:p>
    <w:p w:rsidR="009F0F3F" w:rsidRPr="00842946" w:rsidRDefault="009F0F3F">
      <w:bookmarkStart w:id="69" w:name="sub_614"/>
      <w:bookmarkEnd w:id="68"/>
      <w:r w:rsidRPr="00842946">
        <w:t xml:space="preserve">4) просрочки исполнения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пунктом 3.2</w:t>
      </w:r>
      <w:r w:rsidRPr="00842946">
        <w:t xml:space="preserve"> Договора;</w:t>
      </w:r>
    </w:p>
    <w:bookmarkEnd w:id="69"/>
    <w:p w:rsidR="009F0F3F" w:rsidRPr="00842946" w:rsidRDefault="009F0F3F">
      <w:r w:rsidRPr="00842946">
        <w:t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70" w:name="sub_616"/>
      <w:r w:rsidRPr="00842946"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71" w:name="sub_617"/>
      <w:bookmarkEnd w:id="70"/>
      <w:r w:rsidRPr="00842946">
        <w:t xml:space="preserve">7) несоблюдения "Владельцем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72" w:name="sub_62"/>
      <w:bookmarkEnd w:id="71"/>
      <w:r w:rsidRPr="00842946"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9F0F3F" w:rsidRPr="00842946" w:rsidRDefault="009F0F3F">
      <w:bookmarkStart w:id="73" w:name="sub_63"/>
      <w:bookmarkEnd w:id="72"/>
      <w:r w:rsidRPr="00842946">
        <w:t xml:space="preserve">6.3. Договор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73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74" w:name="sub_700"/>
      <w:r w:rsidRPr="00842946">
        <w:rPr>
          <w:color w:val="auto"/>
        </w:rPr>
        <w:t>7. Особые условия</w:t>
      </w:r>
    </w:p>
    <w:bookmarkEnd w:id="74"/>
    <w:p w:rsidR="009F0F3F" w:rsidRPr="00842946" w:rsidRDefault="009F0F3F"/>
    <w:p w:rsidR="009F0F3F" w:rsidRPr="00842946" w:rsidRDefault="009F0F3F">
      <w:bookmarkStart w:id="75" w:name="sub_71"/>
      <w:r w:rsidRPr="00842946">
        <w:t xml:space="preserve">7.1. В случае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842946">
        <w:t>Администрацией</w:t>
      </w:r>
      <w:r w:rsidRPr="00842946"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75"/>
    <w:p w:rsidR="009F0F3F" w:rsidRPr="00842946" w:rsidRDefault="009F0F3F">
      <w:r w:rsidRPr="00842946"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 xml:space="preserve">лицами места размещения объекта от нестационарного торгового объекта и иного имущества </w:t>
      </w:r>
      <w:r w:rsidRPr="00842946">
        <w:lastRenderedPageBreak/>
        <w:t>"Владельца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нестационарного торгового объекта".</w:t>
      </w:r>
    </w:p>
    <w:p w:rsidR="009F0F3F" w:rsidRPr="00842946" w:rsidRDefault="009F0F3F">
      <w:r w:rsidRPr="00842946"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76" w:name="sub_800"/>
      <w:r w:rsidRPr="00842946">
        <w:rPr>
          <w:color w:val="auto"/>
        </w:rPr>
        <w:t>8. Порядок разрешения споров</w:t>
      </w:r>
    </w:p>
    <w:bookmarkEnd w:id="76"/>
    <w:p w:rsidR="009F0F3F" w:rsidRPr="00842946" w:rsidRDefault="009F0F3F"/>
    <w:p w:rsidR="009F0F3F" w:rsidRPr="00842946" w:rsidRDefault="009F0F3F">
      <w:bookmarkStart w:id="77" w:name="sub_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>
        <w:t xml:space="preserve"> </w:t>
      </w:r>
      <w:r w:rsidRPr="00842946">
        <w:t>достижения согласия между Сторонами спор подлежит разрешению в суде по месту нахождения "</w:t>
      </w:r>
      <w:r w:rsidR="0078188B" w:rsidRPr="00842946">
        <w:t>Администрации</w:t>
      </w:r>
      <w:r w:rsidRPr="00842946">
        <w:t>".</w:t>
      </w:r>
    </w:p>
    <w:p w:rsidR="009F0F3F" w:rsidRPr="00842946" w:rsidRDefault="009F0F3F">
      <w:bookmarkStart w:id="78" w:name="sub_82"/>
      <w:bookmarkEnd w:id="77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78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79" w:name="sub_209"/>
      <w:r w:rsidRPr="00842946">
        <w:rPr>
          <w:color w:val="auto"/>
        </w:rPr>
        <w:t>9. Реквизиты сторон</w:t>
      </w:r>
    </w:p>
    <w:bookmarkEnd w:id="79"/>
    <w:p w:rsidR="009F0F3F" w:rsidRPr="00842946" w:rsidRDefault="009F0F3F"/>
    <w:p w:rsidR="009F0F3F" w:rsidRPr="00842946" w:rsidRDefault="009F0F3F">
      <w:bookmarkStart w:id="80" w:name="sub_91"/>
      <w:r w:rsidRPr="00842946">
        <w:t>9.1. "</w:t>
      </w:r>
      <w:r w:rsidR="0078188B" w:rsidRPr="00842946">
        <w:t>Администрация</w:t>
      </w:r>
      <w:r w:rsidRPr="00842946">
        <w:t>": ______________________________.</w:t>
      </w:r>
    </w:p>
    <w:bookmarkEnd w:id="80"/>
    <w:p w:rsidR="009F0F3F" w:rsidRPr="00842946" w:rsidRDefault="009F0F3F">
      <w:r w:rsidRPr="00842946">
        <w:t>"Владелец нестационарного торгового объекта": ______________________________.</w:t>
      </w:r>
    </w:p>
    <w:p w:rsidR="009F0F3F" w:rsidRPr="00842946" w:rsidRDefault="009F0F3F">
      <w:bookmarkStart w:id="81" w:name="sub_92"/>
      <w:r w:rsidRPr="00842946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842946">
        <w:rPr>
          <w:rStyle w:val="a4"/>
          <w:rFonts w:cs="Times New Roman CYR"/>
          <w:color w:val="auto"/>
        </w:rPr>
        <w:t>пункте 9.1</w:t>
      </w:r>
      <w:r w:rsidRPr="00842946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81"/>
    <w:p w:rsidR="009F0F3F" w:rsidRDefault="009F0F3F"/>
    <w:p w:rsidR="009F0F3F" w:rsidRDefault="009F0F3F">
      <w:pPr>
        <w:pStyle w:val="1"/>
      </w:pPr>
      <w:bookmarkStart w:id="82" w:name="sub_220513"/>
      <w:r>
        <w:t>10. Подписи сторон</w:t>
      </w:r>
    </w:p>
    <w:bookmarkEnd w:id="82"/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9F0F3F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</w:tr>
      <w:tr w:rsidR="009F0F3F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p w:rsidR="009F0F3F" w:rsidRDefault="009F0F3F">
      <w:r>
        <w:rPr>
          <w:rStyle w:val="a3"/>
          <w:bCs/>
        </w:rPr>
        <w:t>Примечание:</w:t>
      </w:r>
    </w:p>
    <w:p w:rsidR="009F0F3F" w:rsidRDefault="009F0F3F">
      <w:bookmarkStart w:id="83" w:name="sub_722"/>
      <w: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>
        <w:t>сельских</w:t>
      </w:r>
      <w: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83"/>
    <w:p w:rsidR="009F0F3F" w:rsidRDefault="009F0F3F"/>
    <w:p w:rsidR="00B80E21" w:rsidRDefault="00B80E21" w:rsidP="00E764AA">
      <w:pPr>
        <w:ind w:firstLine="0"/>
        <w:rPr>
          <w:rStyle w:val="a3"/>
          <w:rFonts w:ascii="Arial" w:hAnsi="Arial" w:cs="Arial"/>
          <w:b w:val="0"/>
          <w:bCs/>
        </w:rPr>
      </w:pPr>
      <w:bookmarkStart w:id="84" w:name="sub_202"/>
    </w:p>
    <w:p w:rsidR="00E764AA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105BA5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Форма 2</w:t>
      </w:r>
    </w:p>
    <w:bookmarkEnd w:id="84"/>
    <w:p w:rsidR="009F0F3F" w:rsidRDefault="009F0F3F" w:rsidP="002D76D8">
      <w:pPr>
        <w:jc w:val="right"/>
      </w:pPr>
    </w:p>
    <w:p w:rsidR="009F0F3F" w:rsidRDefault="009F0F3F">
      <w:pPr>
        <w:pStyle w:val="1"/>
      </w:pPr>
      <w:r>
        <w:t xml:space="preserve">Договор </w:t>
      </w:r>
      <w:r>
        <w:br/>
        <w:t xml:space="preserve">на право размещения передвижного нестационарного </w:t>
      </w:r>
      <w:r>
        <w:br/>
        <w:t>торгового объекта N _______</w:t>
      </w:r>
    </w:p>
    <w:p w:rsidR="009F0F3F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F0F3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2473F5" w:rsidP="002473F5">
            <w:pPr>
              <w:pStyle w:val="ac"/>
            </w:pPr>
            <w:r>
              <w:t>с</w:t>
            </w:r>
            <w:r w:rsidR="009F0F3F">
              <w:t xml:space="preserve">. </w:t>
            </w:r>
            <w:r>
              <w:t>Середа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Default="009F0F3F">
      <w:bookmarkStart w:id="85" w:name="sub_99"/>
      <w:r>
        <w:t xml:space="preserve">От имени </w:t>
      </w:r>
      <w:r w:rsidR="0078188B" w:rsidRPr="0078188B">
        <w:t xml:space="preserve">администрации Середского сельского поселения Даниловского муниципального района Ярославской области </w:t>
      </w:r>
      <w:r>
        <w:t>______________________________________________________,</w:t>
      </w:r>
    </w:p>
    <w:bookmarkEnd w:id="85"/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именуемая в дальнейшем "</w:t>
      </w:r>
      <w:r w:rsidR="0078188B">
        <w:t>Администрация</w:t>
      </w:r>
      <w:r>
        <w:t>", и _____________________________________________,</w:t>
      </w:r>
    </w:p>
    <w:p w:rsidR="009F0F3F" w:rsidRDefault="009F0F3F">
      <w:r>
        <w:t>в лице ________________________________________________________________________,</w:t>
      </w:r>
    </w:p>
    <w:p w:rsidR="009F0F3F" w:rsidRDefault="009F0F3F">
      <w:r>
        <w:t>действующего на основании _____________________________________________________,</w:t>
      </w:r>
    </w:p>
    <w:p w:rsidR="009F0F3F" w:rsidRDefault="009F0F3F">
      <w: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:rsidR="009F0F3F" w:rsidRDefault="009F0F3F"/>
    <w:p w:rsidR="009F0F3F" w:rsidRDefault="009F0F3F">
      <w:pPr>
        <w:pStyle w:val="1"/>
      </w:pPr>
      <w:bookmarkStart w:id="86" w:name="sub_2010"/>
      <w:r>
        <w:t>1. Предмет договора</w:t>
      </w:r>
    </w:p>
    <w:bookmarkEnd w:id="86"/>
    <w:p w:rsidR="009F0F3F" w:rsidRDefault="009F0F3F"/>
    <w:p w:rsidR="009F0F3F" w:rsidRPr="00842946" w:rsidRDefault="009F0F3F">
      <w:bookmarkStart w:id="87" w:name="sub_2211"/>
      <w:r w:rsidRPr="00842946">
        <w:t xml:space="preserve">1.1. </w:t>
      </w:r>
      <w:r w:rsidR="009261FA" w:rsidRPr="00842946">
        <w:t xml:space="preserve">«Администрация» </w:t>
      </w:r>
      <w:r w:rsidRPr="00842946"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842946">
        <w:rPr>
          <w:rStyle w:val="a4"/>
          <w:rFonts w:cs="Times New Roman CYR"/>
          <w:color w:val="auto"/>
        </w:rPr>
        <w:t>пунктах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28697A" w:rsidRPr="00842946">
        <w:t>Середского сельского поселения Даниловского муниципального района Ярославской области</w:t>
      </w:r>
      <w:r w:rsidRPr="00842946">
        <w:t xml:space="preserve">, утвержденную </w:t>
      </w:r>
      <w:r w:rsidR="0078188B" w:rsidRPr="00842946">
        <w:t>постановлением администрации Середского сельского поселения Даниловского муниципального района Ярославской области</w:t>
      </w:r>
      <w:r w:rsidRPr="00842946">
        <w:t xml:space="preserve"> от _____________ N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78188B" w:rsidRPr="00842946">
        <w:t>администрации Середского сельского поселения Даниловского муниципального района Ярославской области</w:t>
      </w:r>
      <w:r w:rsidRPr="00842946">
        <w:t>.</w:t>
      </w:r>
    </w:p>
    <w:p w:rsidR="009F0F3F" w:rsidRPr="00842946" w:rsidRDefault="009F0F3F">
      <w:bookmarkStart w:id="88" w:name="sub_2120"/>
      <w:bookmarkEnd w:id="87"/>
      <w:r w:rsidRPr="00842946">
        <w:t>1.2. Характеристики передвижного нестационарного торгового объекта:</w:t>
      </w:r>
    </w:p>
    <w:bookmarkEnd w:id="88"/>
    <w:p w:rsidR="009F0F3F" w:rsidRPr="00842946" w:rsidRDefault="009F0F3F">
      <w:r w:rsidRPr="00842946">
        <w:t>тип: _______________________________________________________________________;</w:t>
      </w:r>
    </w:p>
    <w:p w:rsidR="009F0F3F" w:rsidRPr="00842946" w:rsidRDefault="009F0F3F">
      <w:r w:rsidRPr="00842946">
        <w:t>площадь ___________________________ кв. м.</w:t>
      </w:r>
    </w:p>
    <w:p w:rsidR="009F0F3F" w:rsidRPr="00842946" w:rsidRDefault="009F0F3F">
      <w:bookmarkStart w:id="89" w:name="sub_2130"/>
      <w:r w:rsidRPr="00842946">
        <w:t>1.3. Специализация передвижного нестационарного торгового объекта:</w:t>
      </w:r>
    </w:p>
    <w:bookmarkEnd w:id="89"/>
    <w:p w:rsidR="009F0F3F" w:rsidRPr="00842946" w:rsidRDefault="009F0F3F">
      <w:r w:rsidRPr="00842946">
        <w:t>____________________________________________________________________ 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90" w:name="sub_220"/>
      <w:r w:rsidRPr="00842946">
        <w:rPr>
          <w:color w:val="auto"/>
        </w:rPr>
        <w:t>2. Обязательства сторон</w:t>
      </w:r>
    </w:p>
    <w:bookmarkEnd w:id="90"/>
    <w:p w:rsidR="009F0F3F" w:rsidRPr="00842946" w:rsidRDefault="009F0F3F"/>
    <w:p w:rsidR="009F0F3F" w:rsidRPr="00842946" w:rsidRDefault="009F0F3F">
      <w:bookmarkStart w:id="91" w:name="sub_4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</w:t>
      </w:r>
      <w:r w:rsidR="0078188B" w:rsidRPr="00842946">
        <w:t>а</w:t>
      </w:r>
      <w:r w:rsidRPr="00842946">
        <w:t>:</w:t>
      </w:r>
    </w:p>
    <w:p w:rsidR="009F0F3F" w:rsidRPr="00842946" w:rsidRDefault="009F0F3F">
      <w:bookmarkStart w:id="92" w:name="sub_411"/>
      <w:bookmarkEnd w:id="91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93" w:name="sub_412"/>
      <w:bookmarkEnd w:id="92"/>
      <w:r w:rsidRPr="00842946">
        <w:lastRenderedPageBreak/>
        <w:t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:rsidR="009F0F3F" w:rsidRPr="00842946" w:rsidRDefault="009F0F3F">
      <w:bookmarkStart w:id="94" w:name="sub_413"/>
      <w:bookmarkEnd w:id="93"/>
      <w:r w:rsidRPr="00842946"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95" w:name="sub_414"/>
      <w:bookmarkEnd w:id="94"/>
      <w:r w:rsidRPr="00842946">
        <w:t xml:space="preserve">2.1.4. В случае необходимости освобождения места размещения объекта для нужд </w:t>
      </w:r>
      <w:r w:rsidR="0078188B" w:rsidRPr="00842946">
        <w:t>поселения или района</w:t>
      </w:r>
      <w:r w:rsidRPr="00842946"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96" w:name="sub_42"/>
      <w:bookmarkEnd w:id="95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97" w:name="sub_421"/>
      <w:bookmarkEnd w:id="96"/>
      <w:r w:rsidRPr="00842946">
        <w:t>2.2.1. Осуществлять контроль за соблюдением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98" w:name="sub_422"/>
      <w:bookmarkEnd w:id="97"/>
      <w:r w:rsidRPr="00842946">
        <w:t>2.2.2. Составлять акты о соблюдении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99" w:name="sub_423"/>
      <w:bookmarkEnd w:id="98"/>
      <w:r w:rsidRPr="00842946"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100" w:name="sub_424"/>
      <w:bookmarkEnd w:id="99"/>
      <w:r w:rsidRPr="00842946">
        <w:t xml:space="preserve">2.2.4.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101" w:name="sub_425"/>
      <w:bookmarkEnd w:id="100"/>
      <w:r w:rsidRPr="00842946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102" w:name="sub_43"/>
      <w:bookmarkEnd w:id="101"/>
      <w:r w:rsidRPr="00842946">
        <w:t>2.3. "Владелец передвижного нестационарного торгового объекта" обязан:</w:t>
      </w:r>
    </w:p>
    <w:p w:rsidR="009F0F3F" w:rsidRPr="00842946" w:rsidRDefault="009F0F3F">
      <w:bookmarkStart w:id="103" w:name="sub_431"/>
      <w:bookmarkEnd w:id="102"/>
      <w:r w:rsidRPr="00842946"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:rsidR="009F0F3F" w:rsidRPr="00842946" w:rsidRDefault="009F0F3F">
      <w:bookmarkStart w:id="104" w:name="sub_2232"/>
      <w:bookmarkEnd w:id="103"/>
      <w:r w:rsidRPr="00842946">
        <w:t xml:space="preserve">2.3.2. Размещать передвижной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9F0F3F" w:rsidRPr="00842946" w:rsidRDefault="009F0F3F">
      <w:bookmarkStart w:id="105" w:name="sub_433"/>
      <w:bookmarkEnd w:id="104"/>
      <w:r w:rsidRPr="00842946">
        <w:t xml:space="preserve">2.3.3. Обеспечить соответствие передвижного нестационарного торгового объекта характеристикам, указанным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1.2</w:t>
      </w:r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106" w:name="sub_434"/>
      <w:bookmarkEnd w:id="105"/>
      <w:r w:rsidRPr="00842946">
        <w:t xml:space="preserve">2.3.4. Сохранять специализацию передвижного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106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107" w:name="sub_12351"/>
      <w:r w:rsidRPr="00842946">
        <w:t>1) соблюдение общих требований к размещению передвижного нестационарного торгового объекта, а именно:</w:t>
      </w:r>
    </w:p>
    <w:bookmarkEnd w:id="107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108" w:name="sub_12352"/>
      <w:r w:rsidRPr="00842946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08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 xml:space="preserve"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</w:t>
      </w:r>
      <w:r w:rsidRPr="00842946">
        <w:lastRenderedPageBreak/>
        <w:t>парапетах и 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9F0F3F">
      <w:bookmarkStart w:id="109" w:name="sub_12353"/>
      <w:r w:rsidRPr="00842946"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09"/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110" w:name="sub_235214"/>
      <w:r w:rsidRPr="00842946">
        <w:t xml:space="preserve"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</w:t>
      </w:r>
      <w:proofErr w:type="spellStart"/>
      <w:r w:rsidRPr="00842946">
        <w:t>рольставней</w:t>
      </w:r>
      <w:proofErr w:type="spellEnd"/>
      <w:r w:rsidRPr="00842946">
        <w:t>;</w:t>
      </w:r>
    </w:p>
    <w:bookmarkEnd w:id="110"/>
    <w:p w:rsidR="009F0F3F" w:rsidRPr="00842946" w:rsidRDefault="009F0F3F">
      <w:r w:rsidRPr="00842946"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>- размер режимной таблички не должен быть более 0,4 м x 0,6 м;</w:t>
      </w:r>
    </w:p>
    <w:p w:rsidR="009F0F3F" w:rsidRPr="00842946" w:rsidRDefault="009F0F3F">
      <w:r w:rsidRPr="00842946"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842946">
        <w:t>страбоскопов</w:t>
      </w:r>
      <w:proofErr w:type="spellEnd"/>
      <w:r w:rsidRPr="00842946">
        <w:t xml:space="preserve"> в оформлении вывесок;</w:t>
      </w:r>
    </w:p>
    <w:p w:rsidR="009F0F3F" w:rsidRPr="00842946" w:rsidRDefault="009F0F3F">
      <w:r w:rsidRPr="00842946"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передвижной нестационарный торговый объект оборудуется элементами внешней декоративной подсветки;</w:t>
      </w:r>
    </w:p>
    <w:p w:rsidR="009F0F3F" w:rsidRPr="00842946" w:rsidRDefault="009F0F3F">
      <w:bookmarkStart w:id="111" w:name="sub_12354"/>
      <w:r w:rsidRPr="00842946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:rsidR="009F0F3F" w:rsidRPr="00842946" w:rsidRDefault="009F0F3F">
      <w:bookmarkStart w:id="112" w:name="sub_235221"/>
      <w:bookmarkEnd w:id="111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113" w:name="sub_235222"/>
      <w:bookmarkEnd w:id="112"/>
      <w:r w:rsidRPr="00842946"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13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озеленения;</w:t>
      </w:r>
    </w:p>
    <w:p w:rsidR="009F0F3F" w:rsidRPr="00842946" w:rsidRDefault="009F0F3F">
      <w:bookmarkStart w:id="114" w:name="sub_12355"/>
      <w:r w:rsidRPr="00842946"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28697A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bookmarkEnd w:id="114"/>
    <w:p w:rsidR="009F0F3F" w:rsidRPr="00842946" w:rsidRDefault="009F0F3F">
      <w:r w:rsidRPr="00842946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9F0F3F" w:rsidRPr="00842946" w:rsidRDefault="009F0F3F">
      <w:bookmarkStart w:id="115" w:name="sub_436"/>
      <w:r w:rsidRPr="00842946">
        <w:t>2.3.6. Использовать современное торговое оборудование, содержать его в чистоте и порядке.</w:t>
      </w:r>
    </w:p>
    <w:p w:rsidR="009F0F3F" w:rsidRPr="00842946" w:rsidRDefault="009F0F3F">
      <w:bookmarkStart w:id="116" w:name="sub_2237"/>
      <w:bookmarkEnd w:id="115"/>
      <w:r w:rsidRPr="00842946">
        <w:t xml:space="preserve">2.3.7. Обеспечить содержание территории, прилегающей к передвижному нестационарному </w:t>
      </w:r>
      <w:r w:rsidRPr="00842946">
        <w:lastRenderedPageBreak/>
        <w:t>торговому объекту и указанной в акте приема-передачи места размещения объекта в пределах радиуса 5 метров.</w:t>
      </w:r>
    </w:p>
    <w:bookmarkEnd w:id="116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117" w:name="sub_4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118" w:name="sub_22310"/>
      <w:bookmarkEnd w:id="117"/>
      <w:r w:rsidRPr="00842946"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119" w:name="sub_22311"/>
      <w:bookmarkEnd w:id="118"/>
      <w:r w:rsidRPr="00842946">
        <w:t>2.3.11. В течение 5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120" w:name="sub_220518"/>
      <w:bookmarkEnd w:id="119"/>
      <w:r w:rsidRPr="00842946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121" w:name="sub_233"/>
      <w:bookmarkEnd w:id="120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122" w:name="sub_4314"/>
      <w:bookmarkEnd w:id="121"/>
      <w:r w:rsidRPr="00842946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23" w:name="sub_2315"/>
      <w:bookmarkEnd w:id="122"/>
      <w:r w:rsidRPr="00842946"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476B99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p w:rsidR="009F0F3F" w:rsidRPr="00842946" w:rsidRDefault="009F0F3F">
      <w:bookmarkStart w:id="124" w:name="sub_220515"/>
      <w:bookmarkEnd w:id="123"/>
      <w:r w:rsidRPr="00842946">
        <w:t>2.4. "Владелец передвижного нестационарного торгового объекта" вправе:</w:t>
      </w:r>
    </w:p>
    <w:p w:rsidR="009F0F3F" w:rsidRPr="00842946" w:rsidRDefault="009F0F3F">
      <w:bookmarkStart w:id="125" w:name="sub_2401"/>
      <w:bookmarkEnd w:id="124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126" w:name="sub_442"/>
      <w:bookmarkEnd w:id="125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:rsidR="009F0F3F" w:rsidRPr="00842946" w:rsidRDefault="009F0F3F">
      <w:bookmarkStart w:id="127" w:name="sub_2225"/>
      <w:bookmarkEnd w:id="126"/>
      <w:r w:rsidRPr="00842946"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27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28" w:name="sub_430"/>
      <w:r w:rsidRPr="00842946">
        <w:rPr>
          <w:color w:val="auto"/>
        </w:rPr>
        <w:t>3. Размер, порядок и сроки оплаты цены права на размещение передвижного нестационарного торгового объекта</w:t>
      </w:r>
    </w:p>
    <w:bookmarkEnd w:id="128"/>
    <w:p w:rsidR="009F0F3F" w:rsidRPr="00842946" w:rsidRDefault="009F0F3F"/>
    <w:p w:rsidR="009F0F3F" w:rsidRPr="00842946" w:rsidRDefault="009F0F3F">
      <w:bookmarkStart w:id="129" w:name="sub_2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>методикой определения начальной цены аукциона на право размещения нестационарных торговых объектов на территории Середского сельского поселения Даниловского муниципального района Ярославской области</w:t>
      </w:r>
      <w:r w:rsidR="004416E7" w:rsidRPr="00E764AA">
        <w:t>)</w:t>
      </w:r>
      <w:r w:rsidR="00B80E21" w:rsidRPr="00E764AA">
        <w:t xml:space="preserve"> </w:t>
      </w:r>
      <w:r w:rsidRPr="00E764AA">
        <w:t xml:space="preserve">цена права на размещение </w:t>
      </w:r>
      <w:r w:rsidRPr="00842946">
        <w:t>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:rsidR="009F0F3F" w:rsidRPr="00842946" w:rsidRDefault="009F0F3F">
      <w:bookmarkStart w:id="130" w:name="sub_432"/>
      <w:bookmarkEnd w:id="129"/>
      <w:r w:rsidRPr="00842946"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30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31" w:name="sub_440"/>
      <w:r w:rsidRPr="00842946">
        <w:rPr>
          <w:color w:val="auto"/>
        </w:rPr>
        <w:t>4. Срок действия договора</w:t>
      </w:r>
    </w:p>
    <w:bookmarkEnd w:id="131"/>
    <w:p w:rsidR="009F0F3F" w:rsidRPr="00842946" w:rsidRDefault="009F0F3F"/>
    <w:p w:rsidR="009F0F3F" w:rsidRPr="00842946" w:rsidRDefault="009F0F3F">
      <w:r w:rsidRPr="00842946">
        <w:t xml:space="preserve">Договор действует с "___" _______________ 20___г. по "___" ___________ 20___г., а в части </w:t>
      </w:r>
      <w:r w:rsidRPr="00842946">
        <w:lastRenderedPageBreak/>
        <w:t>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32" w:name="sub_2205"/>
      <w:r w:rsidRPr="00842946">
        <w:rPr>
          <w:color w:val="auto"/>
        </w:rPr>
        <w:t>5. Ответственность "владельца передвижного нестационарного торгового объекта"</w:t>
      </w:r>
    </w:p>
    <w:bookmarkEnd w:id="132"/>
    <w:p w:rsidR="009F0F3F" w:rsidRPr="00842946" w:rsidRDefault="009F0F3F"/>
    <w:p w:rsidR="009F0F3F" w:rsidRPr="00842946" w:rsidRDefault="009F0F3F">
      <w:bookmarkStart w:id="133" w:name="sub_22051"/>
      <w:r w:rsidRPr="00842946"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hyperlink w:anchor="sub_2130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9F0F3F" w:rsidRPr="00842946" w:rsidRDefault="009F0F3F">
      <w:bookmarkStart w:id="134" w:name="sub_220512"/>
      <w:bookmarkEnd w:id="133"/>
      <w:r w:rsidRPr="00842946"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9F0F3F" w:rsidRPr="00842946" w:rsidRDefault="009F0F3F">
      <w:bookmarkStart w:id="135" w:name="sub_452"/>
      <w:bookmarkEnd w:id="134"/>
      <w:r w:rsidRPr="00842946"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842946">
          <w:rPr>
            <w:rStyle w:val="a4"/>
            <w:rFonts w:cs="Times New Roman CYR"/>
            <w:color w:val="auto"/>
          </w:rPr>
          <w:t>подпунктами 2.3.2 - 2.3.5</w:t>
        </w:r>
      </w:hyperlink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36" w:name="sub_453"/>
      <w:bookmarkEnd w:id="135"/>
      <w:r w:rsidRPr="00842946"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37" w:name="sub_454"/>
      <w:bookmarkEnd w:id="136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bookmarkEnd w:id="137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38" w:name="sub_2206"/>
      <w:r w:rsidRPr="00842946">
        <w:rPr>
          <w:color w:val="auto"/>
        </w:rPr>
        <w:t>6. Расторжение договора</w:t>
      </w:r>
    </w:p>
    <w:bookmarkEnd w:id="138"/>
    <w:p w:rsidR="009F0F3F" w:rsidRPr="00842946" w:rsidRDefault="009F0F3F"/>
    <w:p w:rsidR="009F0F3F" w:rsidRPr="00842946" w:rsidRDefault="009F0F3F">
      <w:bookmarkStart w:id="139" w:name="sub_31"/>
      <w:r w:rsidRPr="00842946">
        <w:t xml:space="preserve">6.1. Договор подлежит расторжению </w:t>
      </w:r>
      <w:r w:rsidR="000512C1" w:rsidRPr="00842946">
        <w:t xml:space="preserve">«Администрацией» </w:t>
      </w:r>
      <w:r w:rsidRPr="00842946">
        <w:t>досрочно в одностороннем порядке с уведомлением "Владельца передвижного нестационарного торгового объекта" в случаях:</w:t>
      </w:r>
    </w:p>
    <w:p w:rsidR="009F0F3F" w:rsidRPr="00842946" w:rsidRDefault="009F0F3F">
      <w:bookmarkStart w:id="140" w:name="sub_311"/>
      <w:bookmarkEnd w:id="139"/>
      <w:r w:rsidRPr="00842946"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41" w:name="sub_4612"/>
      <w:bookmarkEnd w:id="140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42" w:name="sub_4613"/>
      <w:bookmarkEnd w:id="141"/>
      <w:r w:rsidRPr="00842946">
        <w:t xml:space="preserve">3) необходимости освобождения места размещения объекта для нужд </w:t>
      </w:r>
      <w:r w:rsidR="0028697A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42"/>
    <w:p w:rsidR="009F0F3F" w:rsidRPr="00842946" w:rsidRDefault="009F0F3F">
      <w:r w:rsidRPr="00842946"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9F0F3F" w:rsidRPr="00842946" w:rsidRDefault="009F0F3F">
      <w:bookmarkStart w:id="143" w:name="sub_4615"/>
      <w:r w:rsidRPr="00842946">
        <w:lastRenderedPageBreak/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44" w:name="sub_4616"/>
      <w:bookmarkEnd w:id="143"/>
      <w:r w:rsidRPr="00842946">
        <w:t xml:space="preserve">6) несоблюдения "Владельцем передвижного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45" w:name="sub_22062"/>
      <w:bookmarkEnd w:id="144"/>
      <w:r w:rsidRPr="00842946"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:rsidR="009F0F3F" w:rsidRPr="00842946" w:rsidRDefault="009F0F3F">
      <w:bookmarkStart w:id="146" w:name="sub_33"/>
      <w:bookmarkEnd w:id="145"/>
      <w:r w:rsidRPr="00842946">
        <w:t xml:space="preserve">6.3. Договор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46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47" w:name="sub_70"/>
      <w:r w:rsidRPr="00842946">
        <w:rPr>
          <w:color w:val="auto"/>
        </w:rPr>
        <w:t>7. Особые условия</w:t>
      </w:r>
    </w:p>
    <w:bookmarkEnd w:id="147"/>
    <w:p w:rsidR="009F0F3F" w:rsidRPr="00842946" w:rsidRDefault="009F0F3F"/>
    <w:p w:rsidR="009F0F3F" w:rsidRPr="00842946" w:rsidRDefault="009F0F3F">
      <w:bookmarkStart w:id="148" w:name="sub_271"/>
      <w:r w:rsidRPr="00842946">
        <w:t xml:space="preserve">7.1. В случае необходимости освобождения места размещения объекта для нужд </w:t>
      </w:r>
      <w:r w:rsidR="00C7376E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842946">
        <w:t xml:space="preserve">«Администрацией» </w:t>
      </w:r>
      <w:r w:rsidRPr="00842946"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48"/>
    <w:p w:rsidR="009F0F3F" w:rsidRPr="00842946" w:rsidRDefault="009F0F3F">
      <w:r w:rsidRPr="00842946"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:rsidR="009F0F3F" w:rsidRPr="00842946" w:rsidRDefault="009F0F3F">
      <w:r w:rsidRPr="00842946">
        <w:t xml:space="preserve"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</w:t>
      </w:r>
      <w:r w:rsidRPr="00842946">
        <w:lastRenderedPageBreak/>
        <w:t>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:rsidR="009F0F3F" w:rsidRPr="00842946" w:rsidRDefault="009F0F3F">
      <w:r w:rsidRPr="00842946"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49" w:name="sub_480"/>
      <w:r w:rsidRPr="00842946">
        <w:rPr>
          <w:color w:val="auto"/>
        </w:rPr>
        <w:t>8. Порядок разрешения споров</w:t>
      </w:r>
    </w:p>
    <w:bookmarkEnd w:id="149"/>
    <w:p w:rsidR="009F0F3F" w:rsidRPr="00842946" w:rsidRDefault="009F0F3F"/>
    <w:p w:rsidR="009F0F3F" w:rsidRPr="00842946" w:rsidRDefault="009F0F3F">
      <w:bookmarkStart w:id="150" w:name="sub_2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>
        <w:t xml:space="preserve"> </w:t>
      </w:r>
      <w:r w:rsidRPr="00842946">
        <w:t>достижения согласия между Сторонами спор подлежит разрешению в суде по месту нахождения "</w:t>
      </w:r>
      <w:r w:rsidR="0028697A" w:rsidRPr="00842946">
        <w:t>Администрации</w:t>
      </w:r>
      <w:r w:rsidRPr="00842946">
        <w:t>".</w:t>
      </w:r>
    </w:p>
    <w:p w:rsidR="009F0F3F" w:rsidRPr="00842946" w:rsidRDefault="009F0F3F">
      <w:bookmarkStart w:id="151" w:name="sub_482"/>
      <w:bookmarkEnd w:id="150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51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52" w:name="sub_2209"/>
      <w:r w:rsidRPr="00842946">
        <w:rPr>
          <w:color w:val="auto"/>
        </w:rPr>
        <w:t>9. Реквизиты сторон</w:t>
      </w:r>
    </w:p>
    <w:bookmarkEnd w:id="152"/>
    <w:p w:rsidR="009F0F3F" w:rsidRPr="00842946" w:rsidRDefault="009F0F3F"/>
    <w:p w:rsidR="009F0F3F" w:rsidRPr="00842946" w:rsidRDefault="009F0F3F">
      <w:bookmarkStart w:id="153" w:name="sub_2291"/>
      <w:r w:rsidRPr="00842946">
        <w:t>9.1. "</w:t>
      </w:r>
      <w:r w:rsidR="00C7376E" w:rsidRPr="00842946">
        <w:t>Администрация</w:t>
      </w:r>
      <w:r w:rsidRPr="00842946">
        <w:t>": ______________________________.</w:t>
      </w:r>
    </w:p>
    <w:bookmarkEnd w:id="153"/>
    <w:p w:rsidR="009F0F3F" w:rsidRPr="00842946" w:rsidRDefault="009F0F3F">
      <w:r w:rsidRPr="00842946">
        <w:t>"Владелец передвижного нестационарного торгового объекта": _____________________.</w:t>
      </w:r>
    </w:p>
    <w:p w:rsidR="009F0F3F" w:rsidRPr="00842946" w:rsidRDefault="009F0F3F">
      <w:bookmarkStart w:id="154" w:name="sub_2292"/>
      <w:r w:rsidRPr="00842946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842946">
        <w:rPr>
          <w:rStyle w:val="a4"/>
          <w:rFonts w:cs="Times New Roman CYR"/>
          <w:color w:val="auto"/>
        </w:rPr>
        <w:t>пункте 9.1</w:t>
      </w:r>
      <w:r w:rsidRPr="00842946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54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55" w:name="sub_220514"/>
      <w:r w:rsidRPr="00842946">
        <w:rPr>
          <w:color w:val="auto"/>
        </w:rPr>
        <w:t>10. Подписи сторон</w:t>
      </w:r>
    </w:p>
    <w:bookmarkEnd w:id="155"/>
    <w:p w:rsidR="009F0F3F" w:rsidRPr="00842946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"/>
        <w:gridCol w:w="4620"/>
      </w:tblGrid>
      <w:tr w:rsidR="00BB74C4" w:rsidRPr="00842946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  <w:tr w:rsidR="00BB74C4" w:rsidRPr="00842946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</w:tbl>
    <w:p w:rsidR="009F0F3F" w:rsidRDefault="009F0F3F"/>
    <w:p w:rsidR="009F0F3F" w:rsidRDefault="009F0F3F"/>
    <w:p w:rsidR="00E764AA" w:rsidRDefault="00E764AA"/>
    <w:p w:rsidR="00E764AA" w:rsidRDefault="00E764AA"/>
    <w:p w:rsidR="00E764AA" w:rsidRDefault="00E764AA"/>
    <w:p w:rsidR="002D76D8" w:rsidRDefault="002D76D8"/>
    <w:p w:rsidR="002D76D8" w:rsidRDefault="002D76D8"/>
    <w:p w:rsidR="002D76D8" w:rsidRDefault="002D76D8"/>
    <w:p w:rsidR="002D76D8" w:rsidRDefault="002D76D8"/>
    <w:p w:rsidR="002D76D8" w:rsidRDefault="002D76D8"/>
    <w:p w:rsidR="00BB74C4" w:rsidRDefault="00BB74C4"/>
    <w:p w:rsidR="00B80E21" w:rsidRDefault="00B80E21"/>
    <w:p w:rsidR="00E764AA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78699B" w:rsidRDefault="0078699B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9F0F3F" w:rsidRDefault="0083182C">
      <w:pPr>
        <w:jc w:val="right"/>
        <w:rPr>
          <w:rStyle w:val="a3"/>
          <w:rFonts w:ascii="Arial" w:hAnsi="Arial" w:cs="Arial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t>Приложение 4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 к</w:t>
      </w:r>
      <w:r w:rsidR="009F0F3F">
        <w:rPr>
          <w:rStyle w:val="a3"/>
          <w:rFonts w:ascii="Arial" w:hAnsi="Arial" w:cs="Arial"/>
          <w:bCs/>
        </w:rPr>
        <w:t xml:space="preserve"> </w:t>
      </w:r>
      <w:r w:rsidR="002473F5" w:rsidRPr="002D76D8">
        <w:rPr>
          <w:rStyle w:val="a4"/>
          <w:rFonts w:ascii="Times New Roman" w:hAnsi="Times New Roman"/>
          <w:color w:val="auto"/>
        </w:rPr>
        <w:t>Порядку</w:t>
      </w:r>
    </w:p>
    <w:p w:rsidR="009F0F3F" w:rsidRDefault="009F0F3F"/>
    <w:p w:rsidR="009F0F3F" w:rsidRDefault="0028697A" w:rsidP="0028697A">
      <w:pPr>
        <w:jc w:val="center"/>
      </w:pPr>
      <w:r>
        <w:rPr>
          <w:b/>
          <w:bCs/>
          <w:color w:val="26282F"/>
        </w:rPr>
        <w:t>А</w:t>
      </w:r>
      <w:r w:rsidRPr="0028697A">
        <w:rPr>
          <w:b/>
          <w:bCs/>
          <w:color w:val="26282F"/>
        </w:rPr>
        <w:t>дминистрации Середского сельского поселения Даниловского муниципального района Ярославской области</w:t>
      </w:r>
    </w:p>
    <w:p w:rsidR="009F0F3F" w:rsidRDefault="009F0F3F">
      <w:pPr>
        <w:pStyle w:val="1"/>
      </w:pPr>
      <w:r>
        <w:t xml:space="preserve">Паспорт </w:t>
      </w:r>
      <w:r>
        <w:br/>
        <w:t>на размещение нестационарного торгового объекта</w:t>
      </w:r>
    </w:p>
    <w:p w:rsidR="009F0F3F" w:rsidRDefault="009F0F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F0F3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c"/>
            </w:pPr>
            <w:r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"___" __________ 20___ г.</w:t>
            </w:r>
          </w:p>
        </w:tc>
      </w:tr>
    </w:tbl>
    <w:p w:rsidR="009F0F3F" w:rsidRDefault="009F0F3F"/>
    <w:p w:rsidR="009F0F3F" w:rsidRDefault="009F0F3F">
      <w:r>
        <w:t>Паспорт подтверждает отвод места для раз</w:t>
      </w:r>
      <w:r w:rsidR="00C7376E">
        <w:t>мещения ______________________</w:t>
      </w:r>
      <w:r>
        <w:t>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(тип объекта)</w:t>
      </w:r>
    </w:p>
    <w:p w:rsidR="009F0F3F" w:rsidRDefault="009F0F3F">
      <w:r>
        <w:t>Адрес/площадь местонахождения объекта: __________________</w:t>
      </w:r>
      <w:r w:rsidR="00C7376E">
        <w:t>__________</w:t>
      </w:r>
      <w:r>
        <w:t>______________.</w:t>
      </w:r>
    </w:p>
    <w:p w:rsidR="009F0F3F" w:rsidRDefault="009F0F3F">
      <w:r>
        <w:t>Площадь объек</w:t>
      </w:r>
      <w:r w:rsidR="00C7376E">
        <w:t>та: _________________________</w:t>
      </w:r>
      <w:r>
        <w:t>______________________________________.</w:t>
      </w:r>
    </w:p>
    <w:p w:rsidR="009F0F3F" w:rsidRDefault="009F0F3F">
      <w:r>
        <w:t>Специализация объек</w:t>
      </w:r>
      <w:r w:rsidR="00C7376E">
        <w:t>та: _________________________</w:t>
      </w:r>
      <w:r>
        <w:t>________________________________.</w:t>
      </w:r>
    </w:p>
    <w:p w:rsidR="009F0F3F" w:rsidRDefault="009F0F3F">
      <w:r>
        <w:t>Режим раб</w:t>
      </w:r>
      <w:r w:rsidR="00C7376E">
        <w:t>оты: ________________________</w:t>
      </w:r>
      <w:r>
        <w:t>_________________________________________.</w:t>
      </w:r>
    </w:p>
    <w:p w:rsidR="009F0F3F" w:rsidRDefault="009F0F3F">
      <w:r>
        <w:t>Паспорт в</w:t>
      </w:r>
      <w:r w:rsidR="00C7376E">
        <w:t>ыдан ________________________</w:t>
      </w:r>
      <w:r>
        <w:t>__________________________________________</w:t>
      </w:r>
    </w:p>
    <w:p w:rsidR="009F0F3F" w:rsidRDefault="009F0F3F">
      <w:r>
        <w:t>_________________________________________________</w:t>
      </w:r>
      <w:r w:rsidR="00C7376E">
        <w:t>________________</w:t>
      </w:r>
      <w:r>
        <w:t>______________</w:t>
      </w:r>
    </w:p>
    <w:p w:rsidR="009F0F3F" w:rsidRDefault="009F0F3F">
      <w:pPr>
        <w:ind w:firstLine="698"/>
        <w:jc w:val="center"/>
      </w:pPr>
      <w:r w:rsidRPr="00C7376E">
        <w:rPr>
          <w:vertAlign w:val="superscript"/>
        </w:rPr>
        <w:t>(наименование организации, Ф.И.О. индивидуального предпринимателя,</w:t>
      </w:r>
      <w:r>
        <w:t xml:space="preserve"> _______________</w:t>
      </w:r>
      <w:r w:rsidR="00C7376E">
        <w:t>______________________________________________________</w:t>
      </w:r>
      <w:r>
        <w:t>_______________.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юридический адрес, телефон)</w:t>
      </w:r>
    </w:p>
    <w:p w:rsidR="009F0F3F" w:rsidRDefault="009F0F3F">
      <w:r>
        <w:t>Сведения об обращении с отходами: ____</w:t>
      </w:r>
      <w:r w:rsidR="00C7376E">
        <w:t>______________________________</w:t>
      </w:r>
      <w:r>
        <w:t>______________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(место сбора отходов - адрес контейнерной площадки,</w:t>
      </w:r>
    </w:p>
    <w:p w:rsidR="009F0F3F" w:rsidRDefault="009F0F3F" w:rsidP="00C7376E">
      <w:pPr>
        <w:ind w:firstLine="0"/>
      </w:pPr>
      <w:r>
        <w:t>____________________________________________________</w:t>
      </w:r>
      <w:r w:rsidR="00C7376E">
        <w:t>______________________</w:t>
      </w:r>
      <w:r>
        <w:t>___</w:t>
      </w:r>
      <w:r w:rsidR="002473F5">
        <w:t>_______</w:t>
      </w:r>
      <w:r>
        <w:t>_.</w:t>
      </w:r>
    </w:p>
    <w:p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>данные договора на вывоз и утилизацию отходов - стороны, срок, номер и дата)</w:t>
      </w:r>
    </w:p>
    <w:p w:rsidR="009F0F3F" w:rsidRDefault="009F0F3F">
      <w:r>
        <w:t>Сведения об убор</w:t>
      </w:r>
      <w:r w:rsidR="00C7376E">
        <w:t>ке территории: ______________</w:t>
      </w:r>
      <w:r>
        <w:t>_____________________________________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(способ уборки, наличие договора на уборку территории,</w:t>
      </w:r>
    </w:p>
    <w:p w:rsidR="009F0F3F" w:rsidRDefault="009F0F3F" w:rsidP="00C7376E">
      <w:pPr>
        <w:ind w:firstLine="0"/>
      </w:pPr>
      <w:r>
        <w:t>_________________________________________________________________________</w:t>
      </w:r>
      <w:r w:rsidR="002473F5">
        <w:t>___</w:t>
      </w:r>
      <w:r>
        <w:t>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стороны и другие реквизиты договора)</w:t>
      </w:r>
    </w:p>
    <w:p w:rsidR="009F0F3F" w:rsidRDefault="009F0F3F">
      <w:r>
        <w:t>Условия ос</w:t>
      </w:r>
      <w:r w:rsidR="00C7376E">
        <w:t>уществления деятельности: ___</w:t>
      </w:r>
      <w:r>
        <w:t>___________________________________________</w:t>
      </w:r>
    </w:p>
    <w:p w:rsidR="009F0F3F" w:rsidRDefault="00C7376E" w:rsidP="00C7376E">
      <w:pPr>
        <w:ind w:firstLine="0"/>
      </w:pPr>
      <w:r>
        <w:t>_________________________</w:t>
      </w:r>
      <w:r w:rsidR="009F0F3F">
        <w:t>_______</w:t>
      </w:r>
      <w:r>
        <w:t>_______________________________</w:t>
      </w:r>
      <w:r w:rsidR="009F0F3F">
        <w:t>_______</w:t>
      </w:r>
      <w:r w:rsidR="002473F5">
        <w:t>________</w:t>
      </w:r>
      <w:r w:rsidR="009F0F3F">
        <w:t>_______.</w:t>
      </w:r>
    </w:p>
    <w:p w:rsidR="009F0F3F" w:rsidRDefault="009F0F3F"/>
    <w:p w:rsidR="009F0F3F" w:rsidRDefault="009F0F3F">
      <w: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:rsidR="009F0F3F" w:rsidRDefault="009F0F3F"/>
    <w:p w:rsidR="009F0F3F" w:rsidRDefault="009F0F3F">
      <w:r>
        <w:t>_________________________ _________________</w:t>
      </w:r>
      <w:r w:rsidR="002473F5">
        <w:t>________</w:t>
      </w:r>
    </w:p>
    <w:p w:rsidR="009F0F3F" w:rsidRPr="00C7376E" w:rsidRDefault="009F0F3F">
      <w:pPr>
        <w:rPr>
          <w:vertAlign w:val="superscript"/>
        </w:rPr>
      </w:pPr>
      <w:r w:rsidRPr="00C7376E">
        <w:rPr>
          <w:vertAlign w:val="superscript"/>
        </w:rPr>
        <w:t xml:space="preserve">(подпись владельца объекта) </w:t>
      </w:r>
      <w:r w:rsidR="00C7376E">
        <w:rPr>
          <w:vertAlign w:val="superscript"/>
        </w:rPr>
        <w:t xml:space="preserve">                    </w:t>
      </w:r>
      <w:r w:rsidR="002473F5">
        <w:rPr>
          <w:vertAlign w:val="superscript"/>
        </w:rPr>
        <w:t xml:space="preserve">       </w:t>
      </w:r>
      <w:r w:rsidR="00C7376E">
        <w:rPr>
          <w:vertAlign w:val="superscript"/>
        </w:rPr>
        <w:t xml:space="preserve"> </w:t>
      </w:r>
      <w:r w:rsidRPr="00C7376E">
        <w:rPr>
          <w:vertAlign w:val="superscript"/>
        </w:rPr>
        <w:t>(И.О. Фамилия)</w:t>
      </w:r>
    </w:p>
    <w:p w:rsidR="009F0F3F" w:rsidRDefault="009F0F3F"/>
    <w:p w:rsidR="009F0F3F" w:rsidRDefault="009F0F3F">
      <w:r>
        <w:t>Срок действия паспорта по "_____" __________ 20____ г.</w:t>
      </w:r>
    </w:p>
    <w:p w:rsidR="009F0F3F" w:rsidRDefault="009F0F3F"/>
    <w:p w:rsidR="009F0F3F" w:rsidRDefault="009F0F3F">
      <w:r>
        <w:t>_______________________________</w:t>
      </w:r>
      <w:r w:rsidR="002473F5">
        <w:t>___________________</w:t>
      </w:r>
      <w:r>
        <w:t xml:space="preserve"> ____________ ________________</w:t>
      </w:r>
    </w:p>
    <w:p w:rsidR="009F0F3F" w:rsidRPr="00C7376E" w:rsidRDefault="009F0F3F" w:rsidP="002473F5">
      <w:pPr>
        <w:ind w:firstLine="698"/>
        <w:rPr>
          <w:vertAlign w:val="superscript"/>
        </w:rPr>
      </w:pPr>
      <w:r w:rsidRPr="00C7376E">
        <w:rPr>
          <w:vertAlign w:val="superscript"/>
        </w:rPr>
        <w:t xml:space="preserve">(наименование должности должностного лица </w:t>
      </w:r>
      <w:r w:rsidR="002473F5">
        <w:rPr>
          <w:vertAlign w:val="superscript"/>
        </w:rPr>
        <w:t>администрации поселения</w:t>
      </w:r>
      <w:r w:rsidRPr="00C7376E">
        <w:rPr>
          <w:vertAlign w:val="superscript"/>
        </w:rPr>
        <w:t>)</w:t>
      </w:r>
      <w:r w:rsidR="002473F5">
        <w:rPr>
          <w:vertAlign w:val="superscript"/>
        </w:rPr>
        <w:t xml:space="preserve">                        </w:t>
      </w:r>
      <w:r w:rsidRPr="00C7376E">
        <w:rPr>
          <w:vertAlign w:val="superscript"/>
        </w:rPr>
        <w:t xml:space="preserve">(подпись) </w:t>
      </w:r>
      <w:r w:rsidR="002473F5">
        <w:rPr>
          <w:vertAlign w:val="superscript"/>
        </w:rPr>
        <w:t xml:space="preserve">          </w:t>
      </w:r>
      <w:r w:rsidRPr="00C7376E">
        <w:rPr>
          <w:vertAlign w:val="superscript"/>
        </w:rPr>
        <w:t>(И.О. Фамилия)</w:t>
      </w:r>
    </w:p>
    <w:p w:rsidR="009F0F3F" w:rsidRDefault="009F0F3F"/>
    <w:p w:rsidR="009F0F3F" w:rsidRDefault="009F0F3F">
      <w:r>
        <w:t>Паспорт выдан</w:t>
      </w:r>
    </w:p>
    <w:p w:rsidR="009F0F3F" w:rsidRDefault="009F0F3F">
      <w:r>
        <w:t>"_____" _____________ 20___ г. _______</w:t>
      </w:r>
      <w:r w:rsidR="002473F5">
        <w:t>________________________</w:t>
      </w:r>
      <w:r>
        <w:t>____________________</w:t>
      </w:r>
    </w:p>
    <w:p w:rsidR="009F0F3F" w:rsidRPr="002473F5" w:rsidRDefault="002473F5">
      <w:pPr>
        <w:ind w:firstLine="69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</w:t>
      </w:r>
      <w:r w:rsidR="009F0F3F" w:rsidRPr="002473F5">
        <w:rPr>
          <w:vertAlign w:val="superscript"/>
        </w:rPr>
        <w:t xml:space="preserve">(подпись, И.О. Фамилия работника </w:t>
      </w:r>
      <w:r>
        <w:rPr>
          <w:vertAlign w:val="superscript"/>
        </w:rPr>
        <w:t>администрации поселения</w:t>
      </w:r>
      <w:r w:rsidR="009F0F3F" w:rsidRPr="002473F5">
        <w:rPr>
          <w:vertAlign w:val="superscript"/>
        </w:rPr>
        <w:t>, выдавшего паспорт)</w:t>
      </w: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9F0F3F" w:rsidRDefault="009F0F3F" w:rsidP="002473F5">
      <w:pPr>
        <w:tabs>
          <w:tab w:val="center" w:pos="5510"/>
        </w:tabs>
      </w:pPr>
      <w:r>
        <w:t>Оборотная сторона Паспорта</w:t>
      </w:r>
      <w:r w:rsidR="002473F5">
        <w:tab/>
      </w:r>
    </w:p>
    <w:p w:rsidR="009F0F3F" w:rsidRDefault="009F0F3F"/>
    <w:p w:rsidR="009F0F3F" w:rsidRDefault="009F0F3F">
      <w:r>
        <w:t>Отметки контролирующих органов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107"/>
        <w:gridCol w:w="2214"/>
        <w:gridCol w:w="1739"/>
        <w:gridCol w:w="1513"/>
        <w:gridCol w:w="1576"/>
      </w:tblGrid>
      <w:tr w:rsidR="009F0F3F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Подпись продавца</w:t>
            </w:r>
          </w:p>
        </w:tc>
      </w:tr>
      <w:tr w:rsidR="009F0F3F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p w:rsidR="009F0F3F" w:rsidRDefault="009F0F3F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BC7824" w:rsidRDefault="00BC7824"/>
    <w:p w:rsidR="00005C5B" w:rsidRDefault="00005C5B" w:rsidP="009E01EF">
      <w:pPr>
        <w:ind w:left="6379" w:firstLine="0"/>
      </w:pPr>
    </w:p>
    <w:p w:rsidR="00BC7824" w:rsidRPr="009E01EF" w:rsidRDefault="00BC7824" w:rsidP="009E01EF">
      <w:pPr>
        <w:ind w:left="6379" w:firstLine="0"/>
      </w:pPr>
      <w:r w:rsidRPr="009E01EF">
        <w:t>Приложение № 2</w:t>
      </w:r>
      <w:r w:rsidR="009E01EF" w:rsidRPr="009E01EF">
        <w:t xml:space="preserve"> </w:t>
      </w:r>
      <w:r w:rsidRPr="009E01EF">
        <w:t xml:space="preserve">к постановлению </w:t>
      </w:r>
      <w:r w:rsidRPr="009E01EF">
        <w:lastRenderedPageBreak/>
        <w:t>администрации</w:t>
      </w:r>
      <w:r w:rsidR="009E01EF" w:rsidRPr="009E01EF">
        <w:t xml:space="preserve"> </w:t>
      </w:r>
      <w:r w:rsidRPr="009E01EF">
        <w:t>Середского сельского поселения</w:t>
      </w:r>
      <w:r w:rsidR="009E01EF" w:rsidRPr="009E01EF">
        <w:t xml:space="preserve"> </w:t>
      </w:r>
      <w:r w:rsidRPr="009E01EF">
        <w:t xml:space="preserve">от </w:t>
      </w:r>
      <w:r w:rsidR="0070066E">
        <w:t>12.05</w:t>
      </w:r>
      <w:r w:rsidRPr="009E01EF">
        <w:t>.2022 г.</w:t>
      </w:r>
      <w:r w:rsidR="009E01EF" w:rsidRPr="009E01EF">
        <w:t xml:space="preserve"> </w:t>
      </w:r>
      <w:r w:rsidRPr="009E01EF">
        <w:t xml:space="preserve">№ </w:t>
      </w:r>
      <w:r w:rsidR="0070066E">
        <w:t>44</w:t>
      </w:r>
    </w:p>
    <w:p w:rsidR="009E01EF" w:rsidRPr="009E01EF" w:rsidRDefault="009E01EF" w:rsidP="009E01EF">
      <w:pPr>
        <w:ind w:left="6379" w:firstLine="0"/>
      </w:pPr>
    </w:p>
    <w:p w:rsidR="00BC7824" w:rsidRPr="009E01EF" w:rsidRDefault="00BC7824" w:rsidP="00BC7824">
      <w:pPr>
        <w:jc w:val="center"/>
        <w:rPr>
          <w:b/>
        </w:rPr>
      </w:pPr>
      <w:bookmarkStart w:id="156" w:name="P216"/>
      <w:bookmarkEnd w:id="156"/>
      <w:r w:rsidRPr="009E01EF">
        <w:rPr>
          <w:b/>
        </w:rPr>
        <w:t>ПОЛОЖЕНИЕ</w:t>
      </w:r>
    </w:p>
    <w:p w:rsidR="00BC7824" w:rsidRPr="009E01EF" w:rsidRDefault="00BC7824" w:rsidP="00BC7824">
      <w:pPr>
        <w:ind w:left="720"/>
        <w:jc w:val="center"/>
        <w:rPr>
          <w:b/>
        </w:rPr>
      </w:pPr>
      <w:r w:rsidRPr="009E01EF">
        <w:rPr>
          <w:b/>
        </w:rPr>
        <w:t>О КОМИССИИ ПО ПОДГОТОВКЕ И ПРОВЕДЕНИЮ ТОРГОВ НА ПРАВО РАЗМЕЩЕНИЯ НЕСТАЦИОНАРНЫХ ТОРГОВЫХ ОБЪЕКТОВ И ЗАКЛЮЧЕНИЯ ДОГОВОРОВ НА ПРАВО РАЗМЕЩЕНИЯ НЕСТАЦИОНАРНЫХ ТОРГОВЫХ ОБЪЕКТОВ НА ТЕРРИТОРИИ СЕРЕДСКОГО СЕЛЬСКОГО ПОСЕЛЕНИЯ ДАНИЛОВСКОГО МУНИЦИПАЛЬНОГО РАЙОНА ЯРОСЛАВСКОЙ ОБЛАСТИ</w:t>
      </w:r>
    </w:p>
    <w:p w:rsidR="00BC7824" w:rsidRPr="009E01EF" w:rsidRDefault="00BC7824" w:rsidP="00BC7824">
      <w:pPr>
        <w:jc w:val="center"/>
      </w:pPr>
    </w:p>
    <w:p w:rsidR="00BC7824" w:rsidRPr="009E01EF" w:rsidRDefault="00BC7824" w:rsidP="00BC7824">
      <w:pPr>
        <w:outlineLvl w:val="1"/>
        <w:rPr>
          <w:b/>
        </w:rPr>
      </w:pPr>
      <w:r w:rsidRPr="009E01EF">
        <w:rPr>
          <w:b/>
        </w:rPr>
        <w:t>1. Общие положения</w:t>
      </w:r>
    </w:p>
    <w:p w:rsidR="00BC7824" w:rsidRPr="009E01EF" w:rsidRDefault="00BC7824" w:rsidP="00BC7824">
      <w:r w:rsidRPr="009E01EF">
        <w:t>1.1. Комиссия по подготовке и проведению торгов на право размещения нестационарных объектов и заключения договоров создана для обеспечения выполнения законодательных актов Российской Федерации на территории Середского сельского поселения Даниловского муниципального района Ярославской области.</w:t>
      </w:r>
    </w:p>
    <w:p w:rsidR="00BC7824" w:rsidRPr="009E01EF" w:rsidRDefault="00BC7824" w:rsidP="00BC7824">
      <w:r w:rsidRPr="009E01EF">
        <w:t>1.2. Комиссия осуществляет свою деятельность в соответствии с Конституцией Российской Федерации, Земельным кодексом Российской Федерации, Гражданским кодексом Российской Федерации, другими нормативными правовыми актами Российской Федерации, Законами Ярославской области, Уставом Середского сельского поселения Даниловского муниципального района Ярославской области и настоящим положением</w:t>
      </w:r>
      <w:r w:rsidRPr="009E01EF">
        <w:rPr>
          <w:color w:val="FF0000"/>
        </w:rPr>
        <w:t xml:space="preserve">. </w:t>
      </w:r>
    </w:p>
    <w:p w:rsidR="00BC7824" w:rsidRPr="009E01EF" w:rsidRDefault="00BC7824" w:rsidP="00BC7824">
      <w:r w:rsidRPr="009E01EF">
        <w:t xml:space="preserve">1.3. Состав Комиссии утверждается Главой Середского сельского поселения Даниловского муниципального района Ярославской области. </w:t>
      </w:r>
    </w:p>
    <w:p w:rsidR="00BC7824" w:rsidRPr="009E01EF" w:rsidRDefault="00BC7824" w:rsidP="00BC7824">
      <w:pPr>
        <w:rPr>
          <w:b/>
        </w:rPr>
      </w:pPr>
      <w:r w:rsidRPr="009E01EF">
        <w:rPr>
          <w:b/>
        </w:rPr>
        <w:t>2. Основные задачи и функции комиссии</w:t>
      </w:r>
    </w:p>
    <w:p w:rsidR="00BC7824" w:rsidRPr="009E01EF" w:rsidRDefault="00BC7824" w:rsidP="00BC7824">
      <w:r w:rsidRPr="009E01EF">
        <w:t xml:space="preserve">2.1. Координация деятельности по подготовке документов для организации аукциона. </w:t>
      </w:r>
    </w:p>
    <w:p w:rsidR="00BC7824" w:rsidRPr="009E01EF" w:rsidRDefault="00BC7824" w:rsidP="00BC7824">
      <w:r w:rsidRPr="009E01EF">
        <w:t>2.2. Направление запросов в пределах своей компетенции в адрес органов муниципальных образований, предприятий, учреждений и рассмотрение документов, необходимых для организации и проведения аукционов.</w:t>
      </w:r>
    </w:p>
    <w:p w:rsidR="00BC7824" w:rsidRPr="009E01EF" w:rsidRDefault="00BC7824" w:rsidP="00BC7824">
      <w:r w:rsidRPr="009E01EF">
        <w:t>2.3. Определение места, даты, времени начала и окончания приема заявок об участии в аукционе, места и срока проведения аукциона и подведение итогов аукциона, формы проведения аукционов, условий конкурса, срока заключения договоров на право размещения нестационарных объектов.</w:t>
      </w:r>
    </w:p>
    <w:p w:rsidR="00BC7824" w:rsidRPr="009E01EF" w:rsidRDefault="00BC7824" w:rsidP="00BC7824">
      <w:r w:rsidRPr="009E01EF">
        <w:t>2.</w:t>
      </w:r>
      <w:r w:rsidR="009E01EF" w:rsidRPr="009E01EF">
        <w:t>4</w:t>
      </w:r>
      <w:r w:rsidRPr="009E01EF">
        <w:t>. Организация подготовки и публикации извещения о проведении аукционов (или об отказе в проведении) и информации о результатах аукционов.</w:t>
      </w:r>
    </w:p>
    <w:p w:rsidR="00BC7824" w:rsidRPr="009E01EF" w:rsidRDefault="00BC7824" w:rsidP="00BC7824">
      <w:r w:rsidRPr="009E01EF">
        <w:t>2.</w:t>
      </w:r>
      <w:r w:rsidR="009E01EF" w:rsidRPr="009E01EF">
        <w:t>5</w:t>
      </w:r>
      <w:r w:rsidRPr="009E01EF">
        <w:t>. Регистрация заявок.</w:t>
      </w:r>
    </w:p>
    <w:p w:rsidR="00BC7824" w:rsidRPr="009E01EF" w:rsidRDefault="00BC7824" w:rsidP="00BC7824">
      <w:r w:rsidRPr="009E01EF">
        <w:t>2.</w:t>
      </w:r>
      <w:r w:rsidR="009E01EF" w:rsidRPr="009E01EF">
        <w:t>6</w:t>
      </w:r>
      <w:r w:rsidRPr="009E01EF">
        <w:t>. Прием и рассмотрение заявок и документов претендентов, предложений при проведении конкурса или аукциона.</w:t>
      </w:r>
    </w:p>
    <w:p w:rsidR="00BC7824" w:rsidRPr="009E01EF" w:rsidRDefault="00BC7824" w:rsidP="00BC7824">
      <w:r w:rsidRPr="009E01EF">
        <w:t>2.</w:t>
      </w:r>
      <w:r w:rsidR="009E01EF" w:rsidRPr="009E01EF">
        <w:t>7</w:t>
      </w:r>
      <w:r w:rsidRPr="009E01EF">
        <w:t>. Предоставление необходимых материалов и соответствующих документов претендентам, намеревающимся принять участие в аукционе.</w:t>
      </w:r>
    </w:p>
    <w:p w:rsidR="00BC7824" w:rsidRPr="009E01EF" w:rsidRDefault="00BC7824" w:rsidP="00BC7824">
      <w:r w:rsidRPr="009E01EF">
        <w:t>2.</w:t>
      </w:r>
      <w:r w:rsidR="009E01EF" w:rsidRPr="009E01EF">
        <w:t>8</w:t>
      </w:r>
      <w:r w:rsidRPr="009E01EF">
        <w:t>. Принятие решения о признании претендентов участниками аукциона или об отказе в допуске к участию в аукционе по основаниям и уведомление претендентов о принятом решении.</w:t>
      </w:r>
    </w:p>
    <w:p w:rsidR="00BC7824" w:rsidRPr="009E01EF" w:rsidRDefault="00BC7824" w:rsidP="00BC7824">
      <w:r w:rsidRPr="009E01EF">
        <w:t>2.</w:t>
      </w:r>
      <w:r w:rsidR="009E01EF" w:rsidRPr="009E01EF">
        <w:t>9</w:t>
      </w:r>
      <w:r w:rsidRPr="009E01EF">
        <w:t>. Обеспечение сохранности представленных заявок, документов и предложений, конфиденциальности сведений о лицах, подавших заявки и предложения, и о содержании представленных ими документов до момента их оглашения или проведения торгов, закрытых по форме подачи предложений по цене.</w:t>
      </w:r>
    </w:p>
    <w:p w:rsidR="00BC7824" w:rsidRPr="009E01EF" w:rsidRDefault="00BC7824" w:rsidP="00BC7824">
      <w:r w:rsidRPr="009E01EF">
        <w:t>2.1</w:t>
      </w:r>
      <w:r w:rsidR="009E01EF" w:rsidRPr="009E01EF">
        <w:t>0</w:t>
      </w:r>
      <w:r w:rsidRPr="009E01EF">
        <w:t>. Организация осмотра нестационарных объектов на местности.</w:t>
      </w:r>
    </w:p>
    <w:p w:rsidR="00BC7824" w:rsidRPr="009E01EF" w:rsidRDefault="00BC7824" w:rsidP="00BC7824">
      <w:r w:rsidRPr="009E01EF">
        <w:t>2.1</w:t>
      </w:r>
      <w:r w:rsidR="009E01EF" w:rsidRPr="009E01EF">
        <w:t>1</w:t>
      </w:r>
      <w:r w:rsidRPr="009E01EF">
        <w:t>. Проведение аукционов, определение победителей аукционов, оформление протокола о результатах аукционов.</w:t>
      </w:r>
    </w:p>
    <w:p w:rsidR="00BC7824" w:rsidRPr="009E01EF" w:rsidRDefault="00BC7824" w:rsidP="00BC7824">
      <w:pPr>
        <w:rPr>
          <w:b/>
        </w:rPr>
      </w:pPr>
      <w:r w:rsidRPr="009E01EF">
        <w:rPr>
          <w:b/>
        </w:rPr>
        <w:t>3. Порядок работы комиссии</w:t>
      </w:r>
    </w:p>
    <w:p w:rsidR="00BC7824" w:rsidRPr="009E01EF" w:rsidRDefault="00BC7824" w:rsidP="00BC7824">
      <w:r w:rsidRPr="009E01EF">
        <w:t>3.1. Комиссия осуществляет свою деятельность в соответствии с настоящим положением.</w:t>
      </w:r>
    </w:p>
    <w:p w:rsidR="00BC7824" w:rsidRPr="009E01EF" w:rsidRDefault="00BC7824" w:rsidP="00BC7824">
      <w:r w:rsidRPr="009E01EF">
        <w:t xml:space="preserve">3.2. Заседание комиссии проводится председателем, а в его отсутствие </w:t>
      </w:r>
      <w:r w:rsidRPr="009E01EF">
        <w:rPr>
          <w:color w:val="002060"/>
        </w:rPr>
        <w:t xml:space="preserve">- </w:t>
      </w:r>
      <w:r w:rsidRPr="009E01EF">
        <w:t xml:space="preserve">заместителем </w:t>
      </w:r>
      <w:r w:rsidRPr="009E01EF">
        <w:lastRenderedPageBreak/>
        <w:t>председателя.</w:t>
      </w:r>
    </w:p>
    <w:p w:rsidR="00BC7824" w:rsidRPr="009E01EF" w:rsidRDefault="00BC7824" w:rsidP="00BC7824">
      <w:r w:rsidRPr="009E01EF">
        <w:t>3.4. Заседание комиссии является правомочным, если в нем участвует не менее двух третьих от числа членов комиссии. Решение комиссии принимается простым большинством голосов членов комиссии, участвующих в заседании. При равенстве голосов председатель комиссии имеет право решающего голоса.</w:t>
      </w:r>
    </w:p>
    <w:p w:rsidR="00BC7824" w:rsidRPr="009E01EF" w:rsidRDefault="00BC7824" w:rsidP="00BC7824">
      <w:r w:rsidRPr="009E01EF">
        <w:t>3.5. Решение комиссии оформляется протоколом, подписываемым председателем и секретарем Комиссии.</w:t>
      </w: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Default="009E01EF" w:rsidP="009E01EF">
      <w:pPr>
        <w:ind w:left="6379" w:firstLine="0"/>
      </w:pPr>
    </w:p>
    <w:p w:rsidR="009E01EF" w:rsidRPr="009E01EF" w:rsidRDefault="009E01EF" w:rsidP="009E01EF">
      <w:pPr>
        <w:ind w:left="6379" w:firstLine="0"/>
      </w:pPr>
      <w:r w:rsidRPr="009E01EF">
        <w:t xml:space="preserve">Приложение № 3 к постановлению </w:t>
      </w:r>
      <w:r w:rsidRPr="009E01EF">
        <w:lastRenderedPageBreak/>
        <w:t xml:space="preserve">администрации Середского сельского поселения от </w:t>
      </w:r>
      <w:r w:rsidR="0070066E">
        <w:t>12.05</w:t>
      </w:r>
      <w:r w:rsidRPr="009E01EF">
        <w:t xml:space="preserve">.2022 г. № </w:t>
      </w:r>
      <w:r w:rsidR="0070066E">
        <w:t>44</w:t>
      </w:r>
    </w:p>
    <w:p w:rsidR="00BC7824" w:rsidRPr="009E01EF" w:rsidRDefault="00BC7824" w:rsidP="00BC7824">
      <w:pPr>
        <w:jc w:val="center"/>
      </w:pPr>
    </w:p>
    <w:p w:rsidR="00BC7824" w:rsidRPr="009E01EF" w:rsidRDefault="00BC7824" w:rsidP="00BC7824">
      <w:pPr>
        <w:spacing w:line="276" w:lineRule="auto"/>
        <w:jc w:val="center"/>
        <w:rPr>
          <w:b/>
        </w:rPr>
      </w:pPr>
      <w:bookmarkStart w:id="157" w:name="P291"/>
      <w:bookmarkEnd w:id="157"/>
      <w:r w:rsidRPr="009E01EF">
        <w:rPr>
          <w:b/>
        </w:rPr>
        <w:t>СОСТАВ</w:t>
      </w:r>
    </w:p>
    <w:p w:rsidR="00BC7824" w:rsidRPr="009E01EF" w:rsidRDefault="00BC7824" w:rsidP="00BC7824">
      <w:pPr>
        <w:spacing w:line="276" w:lineRule="auto"/>
        <w:jc w:val="center"/>
        <w:rPr>
          <w:b/>
        </w:rPr>
      </w:pPr>
      <w:r w:rsidRPr="009E01EF">
        <w:rPr>
          <w:b/>
        </w:rPr>
        <w:t>КОМИССИИ ПО ПОДГОТОВКЕ И ПРОВЕДЕНИЮ ТОРГОВ НА ПРАВО РАЗМЕЩЕНИЯ НЕСТАЦИОНАРНЫХ ТОРГОВЫХ ОБЪЕКТОВ И ЗАКЮЧЕНИЯ ДОГОВОРОВ НА ПРАВО РАЗМ</w:t>
      </w:r>
      <w:r w:rsidR="009E01EF" w:rsidRPr="009E01EF">
        <w:rPr>
          <w:b/>
        </w:rPr>
        <w:t xml:space="preserve">ЕЩЕНИЯ НЕСТАЦИОНАРНЫХ ТОРГОВЫХ </w:t>
      </w:r>
      <w:r w:rsidRPr="009E01EF">
        <w:rPr>
          <w:b/>
        </w:rPr>
        <w:t>ОБЪЕКТОВ НА ТЕРРИТОРИИ СЕРЕДСКОГО СЕЛЬСКОГО ПОСЕЛЕНИЯ ДАНИЛОВСКОГО МУНИЦИПАЛЬНОГО РАЙОНА ЯРОСЛАВСКОЙ ОБЛАСТИ</w:t>
      </w:r>
    </w:p>
    <w:p w:rsidR="00BC7824" w:rsidRPr="009E01EF" w:rsidRDefault="00BC7824" w:rsidP="00BC7824">
      <w:pPr>
        <w:spacing w:line="276" w:lineRule="auto"/>
        <w:jc w:val="center"/>
      </w:pPr>
    </w:p>
    <w:p w:rsidR="00BC7824" w:rsidRPr="009E01EF" w:rsidRDefault="00BC7824" w:rsidP="00BC7824">
      <w:pPr>
        <w:spacing w:line="276" w:lineRule="auto"/>
        <w:rPr>
          <w:u w:val="single"/>
        </w:rPr>
      </w:pPr>
      <w:r w:rsidRPr="009E01EF">
        <w:rPr>
          <w:u w:val="single"/>
        </w:rPr>
        <w:t>Председатель комиссии:</w:t>
      </w:r>
    </w:p>
    <w:p w:rsidR="00BC7824" w:rsidRPr="009E01EF" w:rsidRDefault="00BC7824" w:rsidP="00BC7824">
      <w:pPr>
        <w:suppressAutoHyphens/>
        <w:rPr>
          <w:rFonts w:eastAsia="Lucida Sans Unicode"/>
          <w:lang w:eastAsia="en-US"/>
        </w:rPr>
      </w:pPr>
      <w:r w:rsidRPr="009E01EF">
        <w:rPr>
          <w:rFonts w:eastAsia="Lucida Sans Unicode"/>
          <w:lang w:eastAsia="en-US"/>
        </w:rPr>
        <w:t>- Прудова Лариса Александровна – Глава Середского сельского поселения Даниловского муниципального района Ярославской области;</w:t>
      </w:r>
    </w:p>
    <w:p w:rsidR="00BC7824" w:rsidRPr="009E01EF" w:rsidRDefault="00BC7824" w:rsidP="00BC7824">
      <w:pPr>
        <w:suppressAutoHyphens/>
        <w:rPr>
          <w:rFonts w:eastAsia="Lucida Sans Unicode"/>
          <w:lang w:eastAsia="en-US"/>
        </w:rPr>
      </w:pPr>
    </w:p>
    <w:p w:rsidR="00BC7824" w:rsidRPr="009E01EF" w:rsidRDefault="00BC7824" w:rsidP="00BC7824">
      <w:pPr>
        <w:spacing w:line="276" w:lineRule="auto"/>
        <w:rPr>
          <w:u w:val="single"/>
        </w:rPr>
      </w:pPr>
      <w:r w:rsidRPr="009E01EF">
        <w:rPr>
          <w:u w:val="single"/>
        </w:rPr>
        <w:t>Заместитель председателя комиссии:</w:t>
      </w:r>
    </w:p>
    <w:p w:rsidR="00BC7824" w:rsidRDefault="00BC7824" w:rsidP="00BC7824">
      <w:pPr>
        <w:suppressAutoHyphens/>
        <w:rPr>
          <w:rFonts w:eastAsia="Lucida Sans Unicode"/>
          <w:lang w:eastAsia="en-US"/>
        </w:rPr>
      </w:pPr>
      <w:r w:rsidRPr="009E01EF">
        <w:t>-</w:t>
      </w:r>
      <w:r w:rsidRPr="009E01EF">
        <w:rPr>
          <w:rFonts w:eastAsia="Lucida Sans Unicode"/>
          <w:lang w:eastAsia="en-US"/>
        </w:rPr>
        <w:t xml:space="preserve"> Смирнова Татьяна Александровна – заместитель Главы Середского сельского поселения по финансам – начальник сектора финансов и экономики администрации Середского сельского поселения; </w:t>
      </w:r>
    </w:p>
    <w:p w:rsidR="009E01EF" w:rsidRPr="009E01EF" w:rsidRDefault="009E01EF" w:rsidP="00BC7824">
      <w:pPr>
        <w:suppressAutoHyphens/>
        <w:rPr>
          <w:rFonts w:eastAsia="Lucida Sans Unicode"/>
          <w:lang w:eastAsia="en-US"/>
        </w:rPr>
      </w:pPr>
    </w:p>
    <w:p w:rsidR="00BC7824" w:rsidRPr="009E01EF" w:rsidRDefault="00BC7824" w:rsidP="00BC7824">
      <w:pPr>
        <w:spacing w:line="276" w:lineRule="auto"/>
        <w:rPr>
          <w:u w:val="single"/>
        </w:rPr>
      </w:pPr>
      <w:r w:rsidRPr="009E01EF">
        <w:rPr>
          <w:u w:val="single"/>
        </w:rPr>
        <w:t>Секретарь комиссии:</w:t>
      </w:r>
    </w:p>
    <w:p w:rsidR="00BC7824" w:rsidRPr="009E01EF" w:rsidRDefault="00BC7824" w:rsidP="00BC7824">
      <w:pPr>
        <w:suppressAutoHyphens/>
        <w:rPr>
          <w:rFonts w:eastAsia="Lucida Sans Unicode"/>
          <w:lang w:eastAsia="en-US"/>
        </w:rPr>
      </w:pPr>
      <w:r w:rsidRPr="009E01EF">
        <w:rPr>
          <w:rFonts w:eastAsia="Lucida Sans Unicode"/>
          <w:lang w:eastAsia="en-US"/>
        </w:rPr>
        <w:t xml:space="preserve">- </w:t>
      </w:r>
      <w:proofErr w:type="spellStart"/>
      <w:r w:rsidR="00F02DDE">
        <w:rPr>
          <w:rFonts w:eastAsia="Lucida Sans Unicode"/>
          <w:lang w:eastAsia="en-US"/>
        </w:rPr>
        <w:t>Ахметина</w:t>
      </w:r>
      <w:proofErr w:type="spellEnd"/>
      <w:r w:rsidR="00F02DDE">
        <w:rPr>
          <w:rFonts w:eastAsia="Lucida Sans Unicode"/>
          <w:lang w:eastAsia="en-US"/>
        </w:rPr>
        <w:t xml:space="preserve"> Наталия Сергеевна - юрисконсульт</w:t>
      </w:r>
      <w:r w:rsidRPr="009E01EF">
        <w:rPr>
          <w:rFonts w:eastAsia="Lucida Sans Unicode"/>
          <w:lang w:eastAsia="en-US"/>
        </w:rPr>
        <w:t xml:space="preserve"> Администрации </w:t>
      </w:r>
      <w:proofErr w:type="spellStart"/>
      <w:r w:rsidRPr="009E01EF">
        <w:rPr>
          <w:rFonts w:eastAsia="Lucida Sans Unicode"/>
          <w:lang w:eastAsia="en-US"/>
        </w:rPr>
        <w:t>Середского</w:t>
      </w:r>
      <w:proofErr w:type="spellEnd"/>
      <w:r w:rsidRPr="009E01EF">
        <w:rPr>
          <w:rFonts w:eastAsia="Lucida Sans Unicode"/>
          <w:lang w:eastAsia="en-US"/>
        </w:rPr>
        <w:t xml:space="preserve"> сельского поселения Даниловского муниципального района Ярославской области;</w:t>
      </w:r>
    </w:p>
    <w:p w:rsidR="00BC7824" w:rsidRPr="009E01EF" w:rsidRDefault="00BC7824" w:rsidP="00BC7824">
      <w:pPr>
        <w:suppressAutoHyphens/>
      </w:pPr>
    </w:p>
    <w:p w:rsidR="00BC7824" w:rsidRPr="009E01EF" w:rsidRDefault="00BC7824" w:rsidP="00BC7824">
      <w:pPr>
        <w:spacing w:line="276" w:lineRule="auto"/>
        <w:rPr>
          <w:u w:val="single"/>
        </w:rPr>
      </w:pPr>
      <w:r w:rsidRPr="009E01EF">
        <w:rPr>
          <w:u w:val="single"/>
        </w:rPr>
        <w:t>Члены комиссии:</w:t>
      </w:r>
    </w:p>
    <w:p w:rsidR="00BC7824" w:rsidRPr="009E01EF" w:rsidRDefault="00BC7824" w:rsidP="00BC7824">
      <w:pPr>
        <w:suppressAutoHyphens/>
        <w:rPr>
          <w:rFonts w:eastAsia="Lucida Sans Unicode"/>
          <w:lang w:eastAsia="en-US"/>
        </w:rPr>
      </w:pPr>
      <w:r w:rsidRPr="009E01EF">
        <w:rPr>
          <w:rFonts w:eastAsia="Lucida Sans Unicode"/>
          <w:lang w:eastAsia="en-US"/>
        </w:rPr>
        <w:t xml:space="preserve">- </w:t>
      </w:r>
      <w:proofErr w:type="spellStart"/>
      <w:r w:rsidR="00F02DDE">
        <w:rPr>
          <w:rFonts w:eastAsia="Lucida Sans Unicode"/>
          <w:lang w:eastAsia="en-US"/>
        </w:rPr>
        <w:t>Шлейникова</w:t>
      </w:r>
      <w:proofErr w:type="spellEnd"/>
      <w:r w:rsidR="00F02DDE">
        <w:rPr>
          <w:rFonts w:eastAsia="Lucida Sans Unicode"/>
          <w:lang w:eastAsia="en-US"/>
        </w:rPr>
        <w:t xml:space="preserve"> Ирина Алексеевна</w:t>
      </w:r>
      <w:r w:rsidRPr="009E01EF">
        <w:rPr>
          <w:rFonts w:eastAsia="Lucida Sans Unicode"/>
          <w:lang w:eastAsia="en-US"/>
        </w:rPr>
        <w:t xml:space="preserve"> – </w:t>
      </w:r>
      <w:r w:rsidR="00F02DDE" w:rsidRPr="00F02DDE">
        <w:rPr>
          <w:rFonts w:eastAsia="Lucida Sans Unicode"/>
          <w:lang w:eastAsia="en-US"/>
        </w:rPr>
        <w:t xml:space="preserve">ведущий специалист </w:t>
      </w:r>
      <w:r w:rsidR="00F02DDE">
        <w:rPr>
          <w:rFonts w:eastAsia="Lucida Sans Unicode"/>
          <w:lang w:eastAsia="en-US"/>
        </w:rPr>
        <w:t xml:space="preserve">Администрации </w:t>
      </w:r>
      <w:proofErr w:type="spellStart"/>
      <w:r w:rsidRPr="009E01EF">
        <w:rPr>
          <w:rFonts w:eastAsia="Lucida Sans Unicode"/>
          <w:lang w:eastAsia="en-US"/>
        </w:rPr>
        <w:t>Середского</w:t>
      </w:r>
      <w:proofErr w:type="spellEnd"/>
      <w:r w:rsidRPr="009E01EF">
        <w:rPr>
          <w:rFonts w:eastAsia="Lucida Sans Unicode"/>
          <w:lang w:eastAsia="en-US"/>
        </w:rPr>
        <w:t xml:space="preserve"> сельского поселения Даниловского муниципального района Ярославской области</w:t>
      </w:r>
    </w:p>
    <w:p w:rsidR="00BC7824" w:rsidRPr="009E01EF" w:rsidRDefault="00BC7824" w:rsidP="00BC7824">
      <w:pPr>
        <w:suppressAutoHyphens/>
        <w:rPr>
          <w:rFonts w:eastAsia="Lucida Sans Unicode"/>
          <w:lang w:eastAsia="en-US"/>
        </w:rPr>
      </w:pPr>
      <w:r w:rsidRPr="009E01EF">
        <w:rPr>
          <w:rFonts w:eastAsia="Lucida Sans Unicode"/>
          <w:lang w:eastAsia="en-US"/>
        </w:rPr>
        <w:t xml:space="preserve">- </w:t>
      </w:r>
      <w:proofErr w:type="spellStart"/>
      <w:r w:rsidR="00F02DDE">
        <w:rPr>
          <w:rFonts w:eastAsia="Lucida Sans Unicode"/>
          <w:lang w:eastAsia="en-US"/>
        </w:rPr>
        <w:t>Ригин</w:t>
      </w:r>
      <w:proofErr w:type="spellEnd"/>
      <w:r w:rsidR="00F02DDE">
        <w:rPr>
          <w:rFonts w:eastAsia="Lucida Sans Unicode"/>
          <w:lang w:eastAsia="en-US"/>
        </w:rPr>
        <w:t xml:space="preserve"> Михаил Владимирович</w:t>
      </w:r>
      <w:r w:rsidRPr="009E01EF">
        <w:rPr>
          <w:rFonts w:eastAsia="Lucida Sans Unicode"/>
          <w:lang w:eastAsia="en-US"/>
        </w:rPr>
        <w:t xml:space="preserve"> – ведущий специалист Администрации Середского сельского поселения Даниловского муниципального района Ярославской области.</w:t>
      </w:r>
    </w:p>
    <w:sectPr w:rsidR="00BC7824" w:rsidRPr="009E01EF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F9" w:rsidRDefault="00461BF9">
      <w:r>
        <w:separator/>
      </w:r>
    </w:p>
  </w:endnote>
  <w:endnote w:type="continuationSeparator" w:id="0">
    <w:p w:rsidR="00461BF9" w:rsidRDefault="0046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AA" w:rsidRDefault="00E764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F9" w:rsidRDefault="00461BF9">
      <w:r>
        <w:separator/>
      </w:r>
    </w:p>
  </w:footnote>
  <w:footnote w:type="continuationSeparator" w:id="0">
    <w:p w:rsidR="00461BF9" w:rsidRDefault="0046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AA" w:rsidRDefault="00E764A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F"/>
    <w:rsid w:val="00005222"/>
    <w:rsid w:val="00005C5B"/>
    <w:rsid w:val="000512C1"/>
    <w:rsid w:val="000A6646"/>
    <w:rsid w:val="000B485F"/>
    <w:rsid w:val="000D79DD"/>
    <w:rsid w:val="000E5936"/>
    <w:rsid w:val="0010079F"/>
    <w:rsid w:val="00105BA5"/>
    <w:rsid w:val="0012106B"/>
    <w:rsid w:val="001848E5"/>
    <w:rsid w:val="002015A8"/>
    <w:rsid w:val="00232F9B"/>
    <w:rsid w:val="002473F5"/>
    <w:rsid w:val="0028697A"/>
    <w:rsid w:val="002D76D8"/>
    <w:rsid w:val="003010EB"/>
    <w:rsid w:val="003146F9"/>
    <w:rsid w:val="00381E50"/>
    <w:rsid w:val="003F7849"/>
    <w:rsid w:val="00423824"/>
    <w:rsid w:val="004416E7"/>
    <w:rsid w:val="00461BF9"/>
    <w:rsid w:val="00476B99"/>
    <w:rsid w:val="00536140"/>
    <w:rsid w:val="00577228"/>
    <w:rsid w:val="00584977"/>
    <w:rsid w:val="005A4AA6"/>
    <w:rsid w:val="00686904"/>
    <w:rsid w:val="006C428A"/>
    <w:rsid w:val="0070066E"/>
    <w:rsid w:val="0078188B"/>
    <w:rsid w:val="0078699B"/>
    <w:rsid w:val="007A0D2D"/>
    <w:rsid w:val="007A30B9"/>
    <w:rsid w:val="007E203B"/>
    <w:rsid w:val="007F4D97"/>
    <w:rsid w:val="00800253"/>
    <w:rsid w:val="008103AB"/>
    <w:rsid w:val="0083182C"/>
    <w:rsid w:val="00842946"/>
    <w:rsid w:val="00851F22"/>
    <w:rsid w:val="008832FE"/>
    <w:rsid w:val="008F08DF"/>
    <w:rsid w:val="009261FA"/>
    <w:rsid w:val="0096382B"/>
    <w:rsid w:val="009E01EF"/>
    <w:rsid w:val="009F0F3F"/>
    <w:rsid w:val="009F4649"/>
    <w:rsid w:val="00A56560"/>
    <w:rsid w:val="00A57CFD"/>
    <w:rsid w:val="00A962DE"/>
    <w:rsid w:val="00AA7DFD"/>
    <w:rsid w:val="00AC6AD5"/>
    <w:rsid w:val="00B2498E"/>
    <w:rsid w:val="00B70F05"/>
    <w:rsid w:val="00B80E21"/>
    <w:rsid w:val="00BA7F7C"/>
    <w:rsid w:val="00BB74C4"/>
    <w:rsid w:val="00BC7824"/>
    <w:rsid w:val="00BE474C"/>
    <w:rsid w:val="00C7376E"/>
    <w:rsid w:val="00C74644"/>
    <w:rsid w:val="00C7526D"/>
    <w:rsid w:val="00D53F8A"/>
    <w:rsid w:val="00D712EA"/>
    <w:rsid w:val="00D7219C"/>
    <w:rsid w:val="00DB382C"/>
    <w:rsid w:val="00DC4C39"/>
    <w:rsid w:val="00DD3863"/>
    <w:rsid w:val="00E05376"/>
    <w:rsid w:val="00E32690"/>
    <w:rsid w:val="00E359D0"/>
    <w:rsid w:val="00E73193"/>
    <w:rsid w:val="00E74344"/>
    <w:rsid w:val="00E764AA"/>
    <w:rsid w:val="00EF2135"/>
    <w:rsid w:val="00F02DDE"/>
    <w:rsid w:val="00F14182"/>
    <w:rsid w:val="00F2094F"/>
    <w:rsid w:val="00F8732F"/>
    <w:rsid w:val="00FC7C3E"/>
    <w:rsid w:val="00FD036C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B66FBC-F3C3-49A4-BECF-E225ABC9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B18A-2C49-4E78-BD15-D40C9271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2022-05-13T08:54:00Z</cp:lastPrinted>
  <dcterms:created xsi:type="dcterms:W3CDTF">2022-05-17T08:15:00Z</dcterms:created>
  <dcterms:modified xsi:type="dcterms:W3CDTF">2022-05-17T08:15:00Z</dcterms:modified>
</cp:coreProperties>
</file>